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9E26B6" w:rsidRDefault="00386B21">
      <w:r xmlns:a="http://schemas.openxmlformats.org/drawingml/2006/main" xmlns:c="http://schemas.openxmlformats.org/drawingml/2006/chart" xmlns:dgm="http://schemas.openxmlformats.org/drawingml/2006/diagram" xmlns:lc="http://schemas.openxmlformats.org/drawingml/2006/lockedCanvas" xmlns:pic="http://schemas.openxmlformats.org/drawingml/2006/picture" xmlns:sl="http://schemas.openxmlformats.org/schemaLibrary/2006/main" w:rsidR="009E26B6" Requires="wpg" allowOverlap="1" anchor="ctr" anchorCtr="0" b="0" bIns="45700" behindDoc="0" cx="6189345" cy="504825" distB="0" distL="114300" distR="114300" distT="0" fmla="val 16667" hidden="0" id="2" l="0" lIns="91425" layoutInCell="1" locked="0" name="" preferRelativeResize="0" prst="roundRect" r="0" r:embed="rId7" rIns="91425" relativeFrom="column" relativeHeight="251658240" simplePos="0" spcFirstLastPara="1" t="0" tIns="45700" uri="http://schemas.microsoft.com/office/word/2010/wordprocessingShape" val="accent1" w:ascii="Arial Narrow" w:cs="Arial Narrow" w:eastAsia="Arial Narrow" w:hAnsi="Arial Narrow" w:rsidRDefault="00386B21" w:val="btLr" wrap="square" x="0" xml:space="preserve" y="0">
        <w:rPr>
          <w:noProof/>
        </w:rPr>
      </w:r>
    </w:p>
    <w:p w:rsidR="009E26B6" w:rsidRDefault="009E26B6"/>
    <w:p w:rsidR="009E26B6" w:rsidRDefault="009E26B6"/>
    <w:tbl>
      <w:tblPr>
        <w:tblW w:w="964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431" w:type="dxa"/>
        <w:tblStyle w:val="a"/>
        <w:tblLook w:val="400"/>
      </w:tblPr>
      <w:tblGrid>
        <w:gridCol w:w="1707"/>
        <w:gridCol w:w="2263"/>
        <w:gridCol w:w="5670"/>
      </w:tblGrid>
      <w:tr w:rsidR="009E26B6">
        <w:tc>
          <w:tcPr>
            <w:gridSpan w:val="2"/>
            <w:shd w:fill="DEEBF6" w:color="auto" w:val="clear"/>
            <w:tcW w:w="397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4"/>
                <w:szCs w:val="24"/>
              </w:rPr>
            </w:pPr>
            <w:r>
              <w:rPr>
                <w:b/>
                <w:rFonts w:ascii="Arial Narrow" w:cs="Arial Narrow" w:eastAsia="Arial Narrow" w:hAnsi="Arial Narrow"/>
                <w:sz w:val="24"/>
                <w:szCs w:val="24"/>
              </w:rPr>
              <w:t xml:space="preserve"> Attentes</w:t>
            </w:r>
          </w:p>
        </w:tc>
        <w:tc>
          <w:tcPr>
            <w:shd w:fill="DEEBF6" w:color="auto" w:val="clear"/>
            <w:tcW w:w="567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4"/>
                <w:szCs w:val="24"/>
              </w:rPr>
            </w:pPr>
            <w:r>
              <w:rPr>
                <w:b/>
                <w:rFonts w:ascii="Arial Narrow" w:cs="Arial Narrow" w:eastAsia="Arial Narrow" w:hAnsi="Arial Narrow"/>
                <w:sz w:val="24"/>
                <w:szCs w:val="24"/>
              </w:rPr>
              <w:t>Contenus d’apprentissage</w:t>
            </w:r>
          </w:p>
        </w:tc>
      </w:tr>
      <w:tr w:rsidR="009E26B6">
        <w:tc>
          <w:tcPr>
            <w:gridSpan w:val="2"/>
            <w:tcW w:w="3970" w:type="dxa"/>
          </w:tcPr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 xml:space="preserve">A1. </w:t>
            </w:r>
            <w:proofErr w:type="gramStart"/>
            <w:r>
              <w:rPr>
                <w:rFonts w:ascii="Arial Narrow" w:cs="Arial Narrow" w:eastAsia="Arial Narrow" w:hAnsi="Arial Narrow"/>
                <w:sz w:val="18"/>
                <w:szCs w:val="18"/>
              </w:rPr>
              <w:t>appliquer</w:t>
            </w:r>
            <w:proofErr w:type="gramEnd"/>
            <w:r>
              <w:rPr>
                <w:rFonts w:ascii="Arial Narrow" w:cs="Arial Narrow" w:eastAsia="Arial Narrow" w:hAnsi="Arial Narrow"/>
                <w:sz w:val="18"/>
                <w:szCs w:val="18"/>
              </w:rPr>
              <w:t xml:space="preserve"> la méthode scientifique pour réaliser des expériences en laboratoire et sur le terrain, effectuer des recherches et résoudre des problèmes.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 xml:space="preserve">B1. </w:t>
            </w:r>
            <w:proofErr w:type="gramStart"/>
            <w:r>
              <w:rPr>
                <w:rFonts w:ascii="Arial Narrow" w:cs="Arial Narrow" w:eastAsia="Arial Narrow" w:hAnsi="Arial Narrow"/>
                <w:sz w:val="18"/>
                <w:szCs w:val="18"/>
              </w:rPr>
              <w:t>démontrer</w:t>
            </w:r>
            <w:proofErr w:type="gramEnd"/>
            <w:r>
              <w:rPr>
                <w:rFonts w:ascii="Arial Narrow" w:cs="Arial Narrow" w:eastAsia="Arial Narrow" w:hAnsi="Arial Narrow"/>
                <w:sz w:val="18"/>
                <w:szCs w:val="18"/>
              </w:rPr>
              <w:t xml:space="preserve"> sa compréhension de la biodiversité en appliquant les concepts de la taxonomie aux diffé</w:t>
            </w:r>
            <w:r>
              <w:rPr>
                <w:rFonts w:ascii="Arial Narrow" w:cs="Arial Narrow" w:eastAsia="Arial Narrow" w:hAnsi="Arial Narrow"/>
                <w:sz w:val="18"/>
                <w:szCs w:val="18"/>
              </w:rPr>
              <w:t>rents règnes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>B2. illustrer les principes fondamentaux de la taxonomie en appliquant des techniques d’échantillonnage et de classification.</w:t>
            </w:r>
          </w:p>
        </w:tc>
        <w:tc>
          <w:tcPr>
            <w:tcW w:w="5670" w:type="dxa"/>
          </w:tcPr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 xml:space="preserve">A1.4 recueillir des renseignements dans des imprimés et des médias électroniques 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>A1.5 effectuer une expérience en la</w:t>
            </w:r>
            <w:r>
              <w:rPr>
                <w:rFonts w:ascii="Arial Narrow" w:cs="Arial Narrow" w:eastAsia="Arial Narrow" w:hAnsi="Arial Narrow"/>
                <w:sz w:val="18"/>
                <w:szCs w:val="18"/>
              </w:rPr>
              <w:t>boratoire ou sur le terrain, exécuter une recherche ou appliquer une stratégie de résolution de problèmes pour répondre à une question de nature scientifique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>A1.6 faire des observations et recueillir des données empiriques à l’aide d’instruments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>A1.11 prés</w:t>
            </w:r>
            <w:r>
              <w:rPr>
                <w:rFonts w:ascii="Arial Narrow" w:cs="Arial Narrow" w:eastAsia="Arial Narrow" w:hAnsi="Arial Narrow"/>
                <w:sz w:val="18"/>
                <w:szCs w:val="18"/>
              </w:rPr>
              <w:t>enter des données empiriques, des renseignements recueillis au cours d’une recherche documentaire ou les étapes de la résolution d’un problème dans une forme appropriée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>A1.12 communiquer ses méthodes de recherche, ses idées et ses résultats en utilisant un</w:t>
            </w:r>
            <w:r>
              <w:rPr>
                <w:rFonts w:ascii="Arial Narrow" w:cs="Arial Narrow" w:eastAsia="Arial Narrow" w:hAnsi="Arial Narrow"/>
                <w:sz w:val="18"/>
                <w:szCs w:val="18"/>
              </w:rPr>
              <w:t xml:space="preserve"> mode de production attendu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>B1.4 décrire l’importance de la biodiversité pour la durabilité d’un écosystème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>B2.2 identifier des organismes d’un écosystème local en appliquant des techniques d’échantillonnage et d’observation et les classifier selon les pri</w:t>
            </w:r>
            <w:r>
              <w:rPr>
                <w:rFonts w:ascii="Arial Narrow" w:cs="Arial Narrow" w:eastAsia="Arial Narrow" w:hAnsi="Arial Narrow"/>
                <w:sz w:val="18"/>
                <w:szCs w:val="18"/>
              </w:rPr>
              <w:t>ncipes de la taxonomie.</w:t>
            </w:r>
          </w:p>
          <w:p w:rsidR="009E26B6" w:rsidRDefault="00386B2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rFonts w:ascii="Arial Narrow" w:cs="Arial Narrow" w:eastAsia="Arial Narrow" w:hAnsi="Arial Narrow"/>
                <w:sz w:val="18"/>
                <w:szCs w:val="18"/>
              </w:rPr>
              <w:t>B2.4 communiquer oralement et par écrit dans différents contextes en se servant des termes justes</w:t>
            </w:r>
          </w:p>
        </w:tc>
      </w:tr>
      <w:tr w:rsidR="009E26B6">
        <w:trPr>
          <w:trHeight w:val="324"/>
        </w:trPr>
        <w:tc>
          <w:tcPr>
            <w:gridSpan w:val="3"/>
            <w:shd w:fill="D9E2F3" w:color="auto" w:val="clear"/>
            <w:tcW w:w="964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 xml:space="preserve">Notions </w:t>
            </w:r>
          </w:p>
        </w:tc>
      </w:tr>
      <w:tr w:rsidR="009E26B6">
        <w:trPr>
          <w:trHeight w:val="324"/>
        </w:trPr>
        <w:tc>
          <w:tcPr>
            <w:gridSpan w:val="2"/>
            <w:shd w:fill="F2F2F2" w:color="auto" w:val="clear"/>
            <w:tcW w:w="397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>Terminologie</w:t>
            </w:r>
          </w:p>
        </w:tc>
        <w:tc>
          <w:tcPr>
            <w:shd w:fill="F2F2F2" w:color="auto" w:val="clear"/>
            <w:tcW w:w="567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>Théorie</w:t>
            </w:r>
          </w:p>
        </w:tc>
      </w:tr>
      <w:tr w:rsidR="009E26B6">
        <w:trPr>
          <w:trHeight w:val="750"/>
        </w:trPr>
        <w:tc>
          <w:tcPr>
            <w:shd w:fill="FFFFFF" w:color="auto" w:val="clear"/>
            <w:tcW w:w="1707" w:type="dxa"/>
          </w:tcPr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1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Microorganisme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1"/>
              </w:numPr>
              <w:ind w:left="168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Taxon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1"/>
              </w:numPr>
              <w:ind w:left="168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Phylogénie</w:t>
            </w:r>
          </w:p>
        </w:tc>
        <w:tc>
          <w:tcPr>
            <w:shd w:fill="FFFFFF" w:color="auto" w:val="clear"/>
            <w:tcW w:w="2263" w:type="dxa"/>
          </w:tcPr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1"/>
              </w:numPr>
              <w:ind w:left="168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Nomenclature binomiale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1"/>
              </w:numPr>
              <w:ind w:left="168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Clé dichotomique </w:t>
            </w:r>
          </w:p>
        </w:tc>
        <w:tc>
          <w:tcPr>
            <w:shd w:fill="FFFFFF" w:color="auto" w:val="clear"/>
            <w:tcW w:w="5670" w:type="dxa"/>
          </w:tcPr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1"/>
              </w:numPr>
              <w:ind w:left="177"/>
              <w:ind w:hanging="177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Principes de la classification 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1"/>
              </w:numPr>
              <w:ind w:left="177"/>
              <w:ind w:hanging="177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Organisation des taxons (</w:t>
            </w:r>
            <w:proofErr w:type="spellStart"/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RECOFaGE</w:t>
            </w:r>
            <w:proofErr w:type="spellEnd"/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)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1"/>
              </w:numPr>
              <w:ind w:left="177"/>
              <w:ind w:hanging="177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Clé dichotomique</w:t>
            </w:r>
          </w:p>
        </w:tc>
      </w:tr>
      <w:tr w:rsidR="009E26B6">
        <w:trPr>
          <w:trHeight w:val="324"/>
        </w:trPr>
        <w:tc>
          <w:tcPr>
            <w:gridSpan w:val="3"/>
            <w:shd w:fill="DEEBF6" w:color="auto" w:val="clear"/>
            <w:tcW w:w="964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>Matériel à prévoir</w:t>
            </w:r>
          </w:p>
        </w:tc>
      </w:tr>
      <w:tr w:rsidR="009E26B6">
        <w:trPr>
          <w:trHeight w:val="860"/>
        </w:trPr>
        <w:tc>
          <w:tcPr>
            <w:gridSpan w:val="3"/>
            <w:tcW w:w="9640" w:type="dxa"/>
          </w:tcPr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Image d’un fromage à </w:t>
            </w:r>
            <w:r>
              <w:rPr>
                <w:rFonts w:ascii="Arial Narrow" w:cs="Arial Narrow" w:eastAsia="Arial Narrow" w:hAnsi="Arial Narrow"/>
                <w:sz w:val="20"/>
                <w:szCs w:val="20"/>
              </w:rPr>
              <w:t>croûte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 fleurie et d’un fromage bleu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Des fiches d’images de 8 microorganismes différents. </w:t>
            </w:r>
            <w:r>
              <w:rPr>
                <w:b/>
                <w:i/>
                <w:color w:val="000000"/>
                <w:rFonts w:ascii="Arial Narrow"/>
                <w:sz w:val="20"/>
              </w:rPr>
              <w:t>Document:images biodiversité des fromages version A, B et C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Ordinateur pour recherche</w:t>
            </w:r>
          </w:p>
        </w:tc>
      </w:tr>
      <w:tr w:rsidR="009E26B6">
        <w:trPr>
          <w:trHeight w:val="844"/>
        </w:trPr>
        <w:tc>
          <w:tcPr>
            <w:gridSpan w:val="3"/>
            <w:tcW w:w="964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>Mise en situation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Présenter le principe de classification dichotomique et phylogénique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Présenter le fromage comme un écosystème</w:t>
            </w:r>
          </w:p>
        </w:tc>
      </w:tr>
      <w:tr w:rsidR="009E26B6">
        <w:trPr>
          <w:trHeight w:val="1267"/>
        </w:trPr>
        <w:tc>
          <w:tcPr>
            <w:gridSpan w:val="3"/>
            <w:tcW w:w="964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>Activité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b/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Créer une clé dichotomique ba</w:t>
            </w:r>
            <w:r>
              <w:rPr>
                <w:i/>
                <w:color w:val="000000"/>
                <w:rFonts w:ascii="Arial Narrow" w:cs="Arial Narrow" w:eastAsia="Arial Narrow" w:hAnsi="Arial Narrow"/>
                <w:sz w:val="20"/>
                <w:szCs w:val="20"/>
              </w:rPr>
              <w:t>sée sur les caractéristiques visibles (document : Activité classification)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 de la microflore des fromages à partir des images. (Document : Images biodiversité des fromages)</w:t>
            </w:r>
          </w:p>
          <w:p w:rsidR="009E26B6" w:rsidRDefault="00386B21">
            <w:pPr>
              <w:shd w:fill="FFFFFF" w:color="auto" w:val="clear"/>
              <w:numPr>
                <w:ilvl w:val="0"/>
                <w:numId w:val="3"/>
              </w:numPr>
              <w:ind w:left="182"/>
              <w:ind w:hanging="142"/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rFonts w:ascii="Arial Narrow" w:cs="Arial Narrow" w:eastAsia="Arial Narrow" w:hAnsi="Arial Narrow"/>
                <w:sz w:val="20"/>
                <w:szCs w:val="20"/>
              </w:rPr>
              <w:t>Discuter des résultats : identifier les indices, catégories qui reviennent le plus souvent — identifier les limites de ce type de classification</w:t>
            </w:r>
          </w:p>
          <w:p w:rsidR="009E26B6" w:rsidRDefault="00386B21">
            <w:pPr>
              <w:shd w:fill="FFFFFF" w:color="auto" w:val="clear"/>
              <w:numPr>
                <w:ilvl w:val="0"/>
                <w:numId w:val="3"/>
              </w:numPr>
              <w:ind w:left="182"/>
              <w:ind w:hanging="142"/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rFonts w:ascii="Arial Narrow" w:cs="Arial Narrow" w:eastAsia="Arial Narrow" w:hAnsi="Arial Narrow"/>
                <w:sz w:val="20"/>
                <w:szCs w:val="20"/>
              </w:rPr>
              <w:t>Remplir une fiche d’identité d’un microorganisme choisi sel</w:t>
            </w:r>
            <w:r>
              <w:rPr>
                <w:rFonts w:ascii="Arial Narrow" w:cs="Arial Narrow" w:eastAsia="Arial Narrow" w:hAnsi="Arial Narrow"/>
                <w:sz w:val="20"/>
                <w:szCs w:val="20"/>
              </w:rPr>
              <w:t xml:space="preserve">on les principes de la phylogénie (Gabarit de </w:t>
            </w:r>
            <w:proofErr w:type="spellStart"/>
            <w:r>
              <w:rPr>
                <w:rFonts w:ascii="Arial Narrow" w:cs="Arial Narrow" w:eastAsia="Arial Narrow" w:hAnsi="Arial Narrow"/>
                <w:sz w:val="20"/>
                <w:szCs w:val="20"/>
              </w:rPr>
              <w:t>classification_taxon</w:t>
            </w:r>
            <w:proofErr w:type="spellEnd"/>
            <w:r>
              <w:rPr>
                <w:rFonts w:ascii="Arial Narrow" w:cs="Arial Narrow" w:eastAsia="Arial Narrow" w:hAnsi="Arial Narrow"/>
                <w:sz w:val="20"/>
                <w:szCs w:val="20"/>
              </w:rPr>
              <w:t>)</w:t>
            </w:r>
          </w:p>
        </w:tc>
      </w:tr>
      <w:tr w:rsidR="009E26B6">
        <w:trPr>
          <w:trHeight w:val="1162"/>
        </w:trPr>
        <w:tc>
          <w:tcPr>
            <w:gridSpan w:val="3"/>
            <w:tcW w:w="964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>Pour aller plus loin</w:t>
            </w:r>
          </w:p>
          <w:p w:rsidR="009E26B6" w:rsidRDefault="00386B21">
            <w:pPr>
              <w:shd w:fill="FFFFFF" w:color="auto" w:val="clear"/>
              <w:ind w:left="182"/>
              <w:ind w:hanging="142"/>
              <w:spacing w:after="96"/>
              <w:rPr>
                <w:b/>
                <w:color w:val="373737"/>
                <w:rFonts w:ascii="Helvetica Neue" w:cs="Helvetica Neue" w:eastAsia="Helvetica Neue" w:hAnsi="Helvetica Neue"/>
                <w:sz w:val="53"/>
                <w:szCs w:val="53"/>
              </w:rPr>
            </w:pPr>
            <w:r>
              <w:rPr>
                <w:rFonts w:ascii="Arial Narrow" w:cs="Arial Narrow" w:eastAsia="Arial Narrow" w:hAnsi="Arial Narrow"/>
                <w:sz w:val="20"/>
                <w:szCs w:val="20"/>
              </w:rPr>
              <w:t>– Présenter des organismes différents et inconnus.  Demander à l’élève de les classer selon les connaissances acquises de la classification phylogénique (p. ex.,</w:t>
            </w:r>
            <w:r>
              <w:rPr>
                <w:color w:val="414141"/>
                <w:highlight w:val="white"/>
                <w:rFonts w:ascii="Open Sans" w:cs="Open Sans" w:eastAsia="Open Sans" w:hAnsi="Open Sans"/>
                <w:sz w:val="21"/>
                <w:szCs w:val="21"/>
              </w:rPr>
              <w:t xml:space="preserve"> </w:t>
            </w:r>
            <w:r>
              <w:rPr>
                <w:color w:val="414141"/>
                <w:rFonts w:ascii="Open Sans" w:cs="Open Sans" w:eastAsia="Open Sans" w:hAnsi="Open Sans"/>
                <w:sz w:val="21"/>
                <w:szCs w:val="21"/>
              </w:rPr>
              <w:t xml:space="preserve">article :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"https://leblob.fr/enquetes/biodiversite-ces-especes-inclassables" \h </w:instrText>
            </w:r>
            <w:r>
              <w:fldChar w:fldCharType="separate"/>
            </w:r>
            <w:r>
              <w:rPr>
                <w:i/>
                <w:color w:val="0000FF"/>
                <w:rFonts w:ascii="Arial Narrow" w:cs="Arial Narrow" w:eastAsia="Arial Narrow" w:hAnsi="Arial Narrow"/>
                <w:sz w:val="20"/>
                <w:szCs w:val="20"/>
              </w:rPr>
              <w:t>Les inclassables</w:t>
            </w:r>
            <w:r>
              <w:rPr>
                <w:i/>
                <w:color w:val="0000FF"/>
                <w:rFonts w:ascii="Arial Narrow" w:cs="Arial Narrow" w:eastAsia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cs="Arial Narrow" w:eastAsia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cs="Arial Narrow" w:eastAsia="Arial Narrow" w:hAnsi="Arial Narrow"/>
                <w:sz w:val="18"/>
                <w:szCs w:val="18"/>
              </w:rPr>
              <w:t>[</w:t>
            </w:r>
            <w:hyperlink r:id="rId8">
              <w:r>
                <w:rPr>
                  <w:u w:val="single"/>
                  <w:color w:val="0000FF"/>
                  <w:rFonts w:ascii="Arial Narrow" w:cs="Arial Narrow" w:eastAsia="Arial Narrow" w:hAnsi="Arial Narrow"/>
                  <w:sz w:val="18"/>
                  <w:szCs w:val="18"/>
                </w:rPr>
                <w:t>https://leblob.fr/enquetes/biodiversite-ces-especes-inclassables</w:t>
              </w:r>
            </w:hyperlink>
            <w:r>
              <w:rPr>
                <w:rFonts w:ascii="Arial Narrow" w:cs="Arial Narrow" w:eastAsia="Arial Narrow" w:hAnsi="Arial Narrow"/>
                <w:sz w:val="18"/>
                <w:szCs w:val="18"/>
              </w:rPr>
              <w:t>]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Discussion sur l’avenir de la classification</w:t>
            </w:r>
            <w:r>
              <w:rPr>
                <w:rFonts w:ascii="Arial Narrow" w:cs="Arial Narrow" w:eastAsia="Arial Narrow" w:hAnsi="Arial Narrow"/>
                <w:sz w:val="20"/>
                <w:szCs w:val="20"/>
              </w:rPr>
              <w:t>.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 Quels sont les apports que peuvent offrir à la société la systématique et les chercheurs qui travaillent dans ce domaine</w:t>
            </w:r>
            <w:r>
              <w:rPr>
                <w:color w:val="000000"/>
                <w:rFonts w:ascii="Arial" w:cs="Arial" w:eastAsia="Arial" w:hAnsi="Arial"/>
                <w:sz w:val="20"/>
                <w:szCs w:val="20"/>
              </w:rPr>
              <w:t> 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? Le modèle de la classification </w:t>
            </w:r>
            <w:proofErr w:type="spellStart"/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a-t-il</w:t>
            </w:r>
            <w:proofErr w:type="spellEnd"/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 beaucoup évolué depuis le 18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  <w:vertAlign w:val="superscript"/>
              </w:rPr>
              <w:t>e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 siècle</w:t>
            </w:r>
            <w:r>
              <w:rPr>
                <w:color w:val="000000"/>
                <w:rFonts w:ascii="Arial" w:cs="Arial" w:eastAsia="Arial" w:hAnsi="Arial"/>
                <w:sz w:val="20"/>
                <w:szCs w:val="20"/>
              </w:rPr>
              <w:t> 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? Est-ce qu’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un modèle sans controverse peut exister</w:t>
            </w:r>
            <w:r>
              <w:rPr>
                <w:color w:val="000000"/>
                <w:rFonts w:ascii="Arial" w:cs="Arial" w:eastAsia="Arial" w:hAnsi="Arial"/>
                <w:sz w:val="20"/>
                <w:szCs w:val="20"/>
              </w:rPr>
              <w:t> </w:t>
            </w: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?</w:t>
            </w:r>
          </w:p>
        </w:tc>
      </w:tr>
      <w:tr w:rsidR="009E26B6">
        <w:tc>
          <w:tcPr>
            <w:gridSpan w:val="3"/>
            <w:tcW w:w="9640" w:type="dxa"/>
          </w:tcPr>
          <w:p w:rsidR="009E26B6" w:rsidRDefault="00386B21">
            <w:pPr>
              <w:rPr>
                <w:b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>Évaluation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>Formative — rétroaction — discussion</w:t>
            </w:r>
          </w:p>
        </w:tc>
      </w:tr>
      <w:tr w:rsidR="009E26B6">
        <w:tc>
          <w:tcPr>
            <w:gridSpan w:val="3"/>
            <w:tcW w:w="9640" w:type="dxa"/>
          </w:tcPr>
          <w:p w:rsidR="009E26B6" w:rsidRDefault="00386B21">
            <w:pPr>
              <w:rPr>
                <w:i/>
                <w:u w:val="single"/>
                <w:color w:val="FF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b/>
                <w:rFonts w:ascii="Arial Narrow" w:cs="Arial Narrow" w:eastAsia="Arial Narrow" w:hAnsi="Arial Narrow"/>
                <w:sz w:val="20"/>
                <w:szCs w:val="20"/>
              </w:rPr>
              <w:t>Ressources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i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Document: images biodiversité des fromages version A, B et C</w:t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</w:pPr>
            <w:r>
              <w:rPr>
                <w:rFonts w:ascii="Arial Narrow"/>
                <w:sz w:val="20"/>
              </w:rPr>
              <w:t>Document : images biodiversité des fromages noms des organismes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hyperlink r:id="rId13">
              <w:r>
                <w:rPr>
                  <w:u w:val="single"/>
                  <w:color w:val="0000FF"/>
                  <w:rFonts w:ascii="Arial Narrow" w:cs="Arial Narrow" w:eastAsia="Arial Narrow" w:hAnsi="Arial Narrow"/>
                  <w:sz w:val="20"/>
                  <w:szCs w:val="20"/>
                </w:rPr>
                <w:t>Quelques microorganismes utilisés dans l’affinage des fromages</w:t>
              </w:r>
            </w:hyperlink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 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3"/>
              </w:numPr>
              <w:ind w:left="182"/>
              <w:ind w:hanging="142"/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</w:pPr>
            <w:r>
              <w:rPr>
                <w:color w:val="000000"/>
                <w:rFonts w:ascii="Arial Narrow" w:cs="Arial Narrow" w:eastAsia="Arial Narrow" w:hAnsi="Arial Narrow"/>
                <w:sz w:val="20"/>
                <w:szCs w:val="20"/>
              </w:rPr>
              <w:t xml:space="preserve">Internet 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2"/>
              </w:numPr>
              <w:ind w:left="608"/>
              <w:ind w:hanging="284"/>
              <w:rPr>
                <w:rFonts w:ascii="Arial Narrow" w:cs="Arial Narrow" w:eastAsia="Arial Narrow" w:hAnsi="Arial Narrow"/>
              </w:rPr>
            </w:pPr>
            <w:hyperlink r:id="rId11">
              <w:r>
                <w:rPr>
                  <w:rFonts w:ascii="Arial Narrow" w:cs="Arial Narrow" w:eastAsia="Arial Narrow" w:hAnsi="Arial Narrow"/>
                  <w:sz w:val="18"/>
                  <w:szCs w:val="18"/>
                </w:rPr>
                <w:t>Des bactéries et des moisissures dans le fromage</w:t>
              </w:r>
            </w:hyperlink>
            <w:r>
              <w:rPr>
                <w:rFonts w:ascii="Arial Narrow" w:cs="Arial Narrow" w:eastAsia="Arial Narrow" w:hAnsi="Arial Narrow"/>
                <w:sz w:val="18"/>
                <w:szCs w:val="18"/>
              </w:rPr>
              <w:t xml:space="preserve"> 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rPr>
                <w:color w:val="000000"/>
                <w:rFonts w:ascii="Arial Narrow" w:cs="Arial Narrow" w:eastAsia="Arial Narrow" w:hAnsi="Arial Narrow"/>
              </w:rPr>
            </w:pPr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[</w:t>
            </w:r>
            <w:hyperlink r:id="rId10">
              <w:r>
                <w:rPr>
                  <w:i/>
                  <w:u w:val="single"/>
                  <w:color w:val="0000FF"/>
                  <w:rFonts w:ascii="Arial Narrow" w:cs="Arial Narrow" w:eastAsia="Arial Narrow" w:hAnsi="Arial Narrow"/>
                  <w:sz w:val="16"/>
                  <w:szCs w:val="16"/>
                </w:rPr>
                <w:t>http://androuet.com/print-article.php?id=28</w:t>
              </w:r>
            </w:hyperlink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]</w:t>
            </w:r>
            <w:r>
              <w:rPr>
                <w:color w:val="000000"/>
                <w:rFonts w:ascii="Arial Narrow" w:cs="Arial Narrow" w:eastAsia="Arial Narrow" w:hAnsi="Arial Narrow"/>
              </w:rPr>
              <w:t xml:space="preserve">   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2"/>
              </w:numPr>
              <w:ind w:left="608"/>
              <w:ind w:hanging="284"/>
              <w:rPr>
                <w:color w:val="000000"/>
                <w:rFonts w:ascii="Arial Narrow" w:cs="Arial Narrow" w:eastAsia="Arial Narrow" w:hAnsi="Arial Narrow"/>
              </w:rPr>
            </w:pPr>
            <w:hyperlink r:id="rId12">
              <w:r>
                <w:rPr>
                  <w:rFonts w:ascii="Arial Narrow" w:cs="Arial Narrow" w:eastAsia="Arial Narrow" w:hAnsi="Arial Narrow"/>
                  <w:sz w:val="18"/>
                  <w:szCs w:val="18"/>
                </w:rPr>
                <w:t>L’agence canadienne de l’inspection des aliments</w:t>
              </w:r>
            </w:hyperlink>
            <w:hyperlink r:id="rId9">
              <w:r>
                <w:rPr>
                  <w:color w:val="0000FF"/>
                  <w:rFonts w:ascii="Arial Narrow" w:cs="Arial Narrow" w:eastAsia="Arial Narrow" w:hAnsi="Arial Narrow"/>
                  <w:sz w:val="18"/>
                  <w:szCs w:val="18"/>
                </w:rPr>
                <w:t xml:space="preserve">   </w:t>
              </w:r>
            </w:hyperlink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rPr>
                <w:color w:val="000000"/>
                <w:rFonts w:ascii="Arial Narrow" w:cs="Arial Narrow" w:eastAsia="Arial Narrow" w:hAnsi="Arial Narrow"/>
              </w:rPr>
            </w:pPr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[</w:t>
            </w:r>
            <w:hyperlink r:id="rId14">
              <w:r>
                <w:rPr>
                  <w:i/>
                  <w:u w:val="single"/>
                  <w:color w:val="0000FF"/>
                  <w:rFonts w:ascii="Arial Narrow" w:cs="Arial Narrow" w:eastAsia="Arial Narrow" w:hAnsi="Arial Narrow"/>
                  <w:sz w:val="16"/>
                  <w:szCs w:val="16"/>
                </w:rPr>
                <w:t>https://www.canada.ca/fr/sante-publique/sujets/controle-et-surveillance-salubrite-aliments.html</w:t>
              </w:r>
            </w:hyperlink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]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2"/>
              </w:numPr>
              <w:ind w:left="608"/>
              <w:ind w:hanging="284"/>
              <w:rPr>
                <w:rFonts w:ascii="Arial Narrow" w:cs="Arial Narrow" w:eastAsia="Arial Narrow" w:hAnsi="Arial Narrow"/>
              </w:rPr>
            </w:pPr>
            <w:hyperlink r:id="rId16">
              <w:r>
                <w:rPr>
                  <w:rFonts w:ascii="Arial Narrow" w:cs="Arial Narrow" w:eastAsia="Arial Narrow" w:hAnsi="Arial Narrow"/>
                  <w:sz w:val="18"/>
                  <w:szCs w:val="18"/>
                </w:rPr>
                <w:t>Les microorganismes intervenant dans l’affinage des fromages à pâte lactique</w:t>
              </w:r>
            </w:hyperlink>
            <w:hyperlink r:id="rId15">
              <w:r>
                <w:rPr>
                  <w:b/>
                  <w:rFonts w:ascii="Arial Narrow" w:cs="Arial Narrow" w:eastAsia="Arial Narrow" w:hAnsi="Arial Narrow"/>
                  <w:sz w:val="18"/>
                  <w:szCs w:val="18"/>
                </w:rPr>
                <w:t xml:space="preserve"> </w:t>
              </w:r>
            </w:hyperlink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</w:pPr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[</w:t>
            </w:r>
            <w:proofErr w:type="gramStart"/>
            <w:r>
              <w:rPr>
                <w:i/>
                <w:u w:val="single"/>
                <w:color w:val="0000FF"/>
                <w:rFonts w:ascii="Arial Narrow" w:cs="Arial Narrow" w:eastAsia="Arial Narrow" w:hAnsi="Arial Narrow"/>
                <w:sz w:val="18"/>
                <w:szCs w:val="18"/>
              </w:rPr>
              <w:t>http://bergers-fromagers.org/public/Technique/Production-Transformation/MICROFLORE_-_Les_micro_organismes_dans_affinage_des_fromages_a_</w:t>
            </w:r>
            <w:r>
              <w:rPr>
                <w:i/>
                <w:u w:val="single"/>
                <w:color w:val="0000FF"/>
                <w:rFonts w:ascii="Arial Narrow" w:cs="Arial Narrow" w:eastAsia="Arial Narrow" w:hAnsi="Arial Narrow"/>
                <w:sz w:val="18"/>
                <w:szCs w:val="18"/>
              </w:rPr>
              <w:t>pate_lactique.pdf</w:t>
            </w:r>
            <w:proofErr w:type="gramEnd"/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 xml:space="preserve">] </w:t>
            </w:r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2"/>
              </w:numPr>
              <w:ind w:left="608"/>
              <w:ind w:hanging="284"/>
              <w:rPr>
                <w:rFonts w:ascii="Arial Narrow" w:cs="Arial Narrow" w:eastAsia="Arial Narrow" w:hAnsi="Arial Narrow"/>
              </w:rPr>
            </w:pPr>
            <w:hyperlink r:id="rId18">
              <w:r>
                <w:rPr>
                  <w:rFonts w:ascii="Arial Narrow" w:cs="Arial Narrow" w:eastAsia="Arial Narrow" w:hAnsi="Arial Narrow"/>
                  <w:sz w:val="18"/>
                  <w:szCs w:val="18"/>
                </w:rPr>
                <w:t>Fromage : les autres microorganismes</w:t>
              </w:r>
            </w:hyperlink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rPr>
                <w:color w:val="000000"/>
                <w:rFonts w:ascii="Arial Narrow" w:cs="Arial Narrow" w:eastAsia="Arial Narrow" w:hAnsi="Arial Narrow"/>
              </w:rPr>
            </w:pPr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[</w:t>
            </w:r>
            <w:hyperlink r:id="rId17">
              <w:r>
                <w:rPr>
                  <w:i/>
                  <w:u w:val="single"/>
                  <w:color w:val="0000FF"/>
                  <w:rFonts w:ascii="Arial Narrow" w:cs="Arial Narrow" w:eastAsia="Arial Narrow" w:hAnsi="Arial Narrow"/>
                  <w:sz w:val="16"/>
                  <w:szCs w:val="16"/>
                </w:rPr>
                <w:t>https://www.futura-sciences.com/sante/dossiers/gastronomie-lait-cru-pasteurise-tradition-hygiene-1712/page/6/</w:t>
              </w:r>
            </w:hyperlink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]</w:t>
            </w:r>
          </w:p>
          <w:bookmarkStart w:id="1" w:name="_heading=h.gjdgxs" w:colFirst="0" w:colLast="0"/>
          <w:bookmarkEnd w:id="1"/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0"/>
                <w:numId w:val="2"/>
              </w:numPr>
              <w:ind w:left="608"/>
              <w:ind w:hanging="284"/>
              <w:rPr>
                <w:rFonts w:ascii="Arial Narrow" w:cs="Arial Narrow" w:eastAsia="Arial Narrow" w:hAnsi="Arial Narrow"/>
              </w:rPr>
            </w:pPr>
            <w:r>
              <w:fldChar w:fldCharType="begin"/>
            </w:r>
            <w:r>
              <w:instrText xml:space="preserve"> HYPERLINK "http</w:instrText>
            </w:r>
            <w:r>
              <w:instrText xml:space="preserve">://lait.org/fichiers/Revue/PLQ-2011-06/recherche.pdf" \h </w:instrText>
            </w:r>
            <w:r>
              <w:fldChar w:fldCharType="separate"/>
            </w:r>
            <w:r>
              <w:rPr>
                <w:rFonts w:ascii="Arial Narrow" w:cs="Arial Narrow" w:eastAsia="Arial Narrow" w:hAnsi="Arial Narrow"/>
                <w:sz w:val="18"/>
                <w:szCs w:val="18"/>
              </w:rPr>
              <w:t>Mieux comprendre l’activité des levures et des moisissures</w:t>
            </w:r>
            <w:r>
              <w:rPr>
                <w:rFonts w:ascii="Arial Narrow" w:cs="Arial Narrow" w:eastAsia="Arial Narrow" w:hAnsi="Arial Narrow"/>
                <w:sz w:val="18"/>
                <w:szCs w:val="18"/>
              </w:rPr>
              <w:fldChar w:fldCharType="end"/>
            </w:r>
            <w:hyperlink r:id="rId20">
              <w:r>
                <w:rPr>
                  <w:b/>
                  <w:rFonts w:ascii="Arial Narrow" w:cs="Arial Narrow" w:eastAsia="Arial Narrow" w:hAnsi="Arial Narrow"/>
                  <w:sz w:val="18"/>
                  <w:szCs w:val="18"/>
                </w:rPr>
                <w:t xml:space="preserve"> </w:t>
              </w:r>
            </w:hyperlink>
          </w:p>
          <w:p w:rsidR="009E26B6" w:rsidRDefault="00386B21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numPr>
                <w:ilvl w:val="1"/>
                <w:numId w:val="2"/>
              </w:numPr>
              <w:rPr>
                <w:color w:val="000000"/>
                <w:rFonts w:ascii="Arial Narrow" w:cs="Arial Narrow" w:eastAsia="Arial Narrow" w:hAnsi="Arial Narrow"/>
              </w:rPr>
            </w:pPr>
            <w:bookmarkStart w:id="2" w:name="_heading=h.92mkfwwbu9lt" w:colFirst="0" w:colLast="0"/>
            <w:bookmarkEnd w:id="2"/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[</w:t>
            </w:r>
            <w:hyperlink r:id="rId19">
              <w:r>
                <w:rPr>
                  <w:i/>
                  <w:u w:val="single"/>
                  <w:color w:val="0000FF"/>
                  <w:rFonts w:ascii="Arial Narrow" w:cs="Arial Narrow" w:eastAsia="Arial Narrow" w:hAnsi="Arial Narrow"/>
                  <w:sz w:val="16"/>
                  <w:szCs w:val="16"/>
                </w:rPr>
                <w:t>http://lait.org/fichiers/Revue/PLQ-2011-06/recherche.pdf</w:t>
              </w:r>
            </w:hyperlink>
            <w:r>
              <w:rPr>
                <w:color w:val="000000"/>
                <w:rFonts w:ascii="Arial Narrow" w:cs="Arial Narrow" w:eastAsia="Arial Narrow" w:hAnsi="Arial Narrow"/>
                <w:sz w:val="18"/>
                <w:szCs w:val="18"/>
              </w:rPr>
              <w:t>]</w:t>
            </w:r>
          </w:p>
          <w:p w:rsidR="009E26B6" w:rsidRDefault="009E26B6"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ind w:left="1175"/>
              <w:rPr>
                <w:b/>
                <w:color w:val="000000"/>
                <w:rFonts w:ascii="Arial Narrow" w:cs="Arial Narrow" w:eastAsia="Arial Narrow" w:hAnsi="Arial Narrow"/>
                <w:sz w:val="18"/>
                <w:szCs w:val="18"/>
              </w:rPr>
            </w:pPr>
          </w:p>
        </w:tc>
      </w:tr>
    </w:tbl>
    <w:p w:rsidR="009E26B6" w:rsidRDefault="009E26B6"/>
    <w:sectPr w:rsidR="009E26B6">
      <w:pgNumType w:start="1"/>
      <w:pgSz w:w="12240" w:h="15840"/>
      <w:pgMar w:left="1800" w:right="1800" w:top="1418" w:bottom="1440" w:header="708" w:footer="708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E8125B3"/>
    <w:tmpl w:val="07BC1FF0"/>
    <w:lvl w:ilvl="0">
      <w:numFmt w:val="bullet"/>
      <w:lvlText w:val="●"/>
      <w:start w:val="1"/>
      <w:rPr>
        <w:rFonts w:ascii="Noto Sans Symbols" w:cs="Noto Sans Symbols" w:eastAsia="Noto Sans Symbols" w:hAnsi="Noto Sans Symbols"/>
        <w:sz w:val="20"/>
        <w:szCs w:val="20"/>
      </w:rPr>
      <w:pPr>
        <w:ind w:left="1753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275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3193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913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633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353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6073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793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513"/>
        <w:ind w:hanging="360"/>
      </w:pPr>
      <w:lvlJc w:val="left"/>
    </w:lvl>
  </w:abstractNum>
  <w:abstractNum w:abstractNumId="1">
    <w:multiLevelType w:val="hybridMultilevel"/>
    <w:nsid w:val="1594088F"/>
    <w:tmpl w:val="F62208A6"/>
    <w:lvl w:ilvl="0">
      <w:numFmt w:val="bullet"/>
      <w:lvlText w:val="-"/>
      <w:start w:val="1"/>
      <w:rPr>
        <w:rFonts w:ascii="Calibri" w:cs="Calibri" w:eastAsia="Calibri" w:hAnsi="Calibri"/>
      </w:rPr>
      <w:pPr>
        <w:ind w:left="1476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196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916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636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56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76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96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516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36"/>
        <w:ind w:hanging="360"/>
      </w:pPr>
      <w:lvlJc w:val="left"/>
    </w:lvl>
  </w:abstractNum>
  <w:abstractNum w:abstractNumId="2">
    <w:multiLevelType w:val="hybridMultilevel"/>
    <w:nsid w:val="43BA0B46"/>
    <w:tmpl w:val="50F0644E"/>
    <w:lvl w:ilvl="0">
      <w:numFmt w:val="bullet"/>
      <w:lvlText w:val="-"/>
      <w:start w:val="1"/>
      <w:rPr>
        <w:rFonts w:ascii="Calibri" w:cs="Calibri" w:eastAsia="Calibri" w:hAnsi="Calibri"/>
      </w:rPr>
      <w:pPr>
        <w:ind w:left="785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2148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868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3588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4308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5028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748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6468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188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3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0024"/>
  <w15:docId w15:val="{7EB68917-3EAD-451E-9C01-B43DBBC47B5B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fr-CA" w:eastAsia="fr-CA" w:bidi="ar-SA"/>
        <w:rFonts w:ascii="Calibri" w:cs="Calibri" w:eastAsia="Calibri" w:hAnsi="Calibri"/>
        <w:sz w:val="22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outlineLvl w:val="0"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outlineLvl w:val="1"/>
      <w:spacing w:before="360" w:after="80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outlineLvl w:val="2"/>
      <w:spacing w:before="280" w:after="80"/>
    </w:pPr>
    <w:rPr>
      <w:b/>
      <w:sz w:val="28"/>
      <w:szCs w:val="28"/>
    </w:rPr>
  </w:style>
  <w:style w:type="paragraph" w:styleId="Titre4">
    <w:name w:val="Heading 4"/>
    <w:qFormat/>
    <w:basedOn w:val="Normal"/>
    <w:link w:val="Titre4Car"/>
    <w:uiPriority w:val="9"/>
    <w:rsid w:val="00A04924"/>
    <w:pPr>
      <w:outlineLvl w:val="3"/>
      <w:spacing w:before="100" w:beforeAutospacing="1" w:after="100" w:afterAutospacing="1"/>
    </w:pPr>
    <w:rPr>
      <w:bCs/>
      <w:b/>
      <w:rFonts w:ascii="Times New Roman" w:cs="Times New Roman" w:eastAsia="Times New Roman" w:hAnsi="Times New Roman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outlineLvl w:val="4"/>
      <w:spacing w:before="220" w:after="40"/>
    </w:pPr>
    <w:rPr>
      <w:b/>
    </w:rPr>
  </w:style>
  <w:style w:type="paragraph" w:styleId="Titre6">
    <w:name w:val="Heading 6"/>
    <w:basedOn w:val="Normal"/>
    <w:next w:val="Normal"/>
    <w:pPr>
      <w:keepNext/>
      <w:keepLines/>
      <w:outlineLvl w:val="5"/>
      <w:spacing w:before="200" w:after="40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435276"/>
  </w:style>
  <w:style w:type="paragraph" w:styleId="Sansinterligne">
    <w:name w:val="No Spacing"/>
    <w:qFormat/>
    <w:uiPriority w:val="1"/>
    <w:rsid w:val="00A75081"/>
  </w:style>
  <w:style w:type="character" w:styleId="Titre4Car">
    <w:name w:val="Titre 4 Car"/>
    <w:basedOn w:val="Policepardfaut"/>
    <w:link w:val="Titre4"/>
    <w:uiPriority w:val="9"/>
    <w:rsid w:val="00A04924"/>
    <w:rPr>
      <w:bCs/>
      <w:lang w:eastAsia="fr-CA"/>
      <w:b/>
      <w:rFonts w:ascii="Times New Roman" w:cs="Times New Roman" w:eastAsia="Times New Roman" w:hAnsi="Times New Roman"/>
      <w:sz w:val="24"/>
      <w:szCs w:val="24"/>
    </w:rPr>
  </w:style>
  <w:style w:type="paragraph" w:styleId="Paragraphedeliste">
    <w:name w:val="List Paragraph"/>
    <w:qFormat/>
    <w:basedOn w:val="Normal"/>
    <w:uiPriority w:val="34"/>
    <w:rsid w:val="006145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12F7"/>
    <w:rPr>
      <w:u w:val="single"/>
      <w:color w:val="0000FF"/>
    </w:rPr>
  </w:style>
  <w:style w:type="paragraph" w:styleId="En-tte">
    <w:name w:val="header"/>
    <w:basedOn w:val="Normal"/>
    <w:link w:val="En-tteCar"/>
    <w:uiPriority w:val="99"/>
    <w:unhideWhenUsed/>
    <w:rsid w:val="00244486"/>
    <w:pPr>
      <w:tabs>
        <w:tab w:val="center" w:pos="4320"/>
        <w:tab w:val="right" w:pos="8640"/>
      </w:tabs>
    </w:pPr>
  </w:style>
  <w:style w:type="character" w:styleId="En-tteCar">
    <w:name w:val="En-tête Car"/>
    <w:basedOn w:val="Policepardfaut"/>
    <w:link w:val="En-tte"/>
    <w:uiPriority w:val="99"/>
    <w:rsid w:val="00244486"/>
  </w:style>
  <w:style w:type="paragraph" w:styleId="Pieddepage">
    <w:name w:val="footer"/>
    <w:basedOn w:val="Normal"/>
    <w:link w:val="PieddepageCar"/>
    <w:uiPriority w:val="99"/>
    <w:unhideWhenUsed/>
    <w:rsid w:val="00244486"/>
    <w:pPr>
      <w:tabs>
        <w:tab w:val="center" w:pos="4320"/>
        <w:tab w:val="right" w:pos="8640"/>
      </w:tabs>
    </w:pPr>
  </w:style>
  <w:style w:type="character" w:styleId="PieddepageCar">
    <w:name w:val="Pied de page Car"/>
    <w:basedOn w:val="Policepardfaut"/>
    <w:link w:val="Pieddepage"/>
    <w:uiPriority w:val="99"/>
    <w:rsid w:val="00244486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i/>
      <w:color w:val="666666"/>
      <w:rFonts w:ascii="Georgia" w:cs="Georgia" w:eastAsia="Georgia" w:hAnsi="Georgia"/>
      <w:sz w:val="48"/>
      <w:szCs w:val="48"/>
    </w:rPr>
  </w:style>
  <w:style w:type="table" w:styleId="a">
    <w:name w:val="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leblob.fr/enquetes/biodiversite-ces-especes-inclassables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futura-sciences.com/sante/dossiers/gastronomie-lait-cru-pasteurise-tradition-hygiene-1712/page/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futura-sciences.com/sante/dossiers/gastronomie-lait-cru-pasteurise-tradition-hygiene-1712/page/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rgers-fromagers.org/public/Technique/Production-Transformation/MICROFLORE_-_Les_micro_organismes_dans_affinage_des_fromages_a_pate_lactique.pdf" TargetMode="External"/><Relationship Id="rId20" Type="http://schemas.openxmlformats.org/officeDocument/2006/relationships/hyperlink" Target="http://lait.org/fichiers/Revue/PLQ-2011-06/recherche.pdf" TargetMode="External"/><Relationship Id="rId1" Type="http://schemas.openxmlformats.org/officeDocument/2006/relationships/customXml" Target="../customXml/item1.xml"/><Relationship Id="rId11" Type="http://schemas.openxmlformats.org/officeDocument/2006/relationships/hyperlink" Target="http://androuet.com/print-article.php?id=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rgers-fromagers.org/public/Technique/Production-Transformation/MICROFLORE_-_Les_micro_organismes_dans_affinage_des_fromages_a_pate_lactique.pdf" TargetMode="External"/><Relationship Id="rId10" Type="http://schemas.openxmlformats.org/officeDocument/2006/relationships/hyperlink" Target="http://androuet.com/print-article.php?id=28" TargetMode="External"/><Relationship Id="rId19" Type="http://schemas.openxmlformats.org/officeDocument/2006/relationships/hyperlink" Target="http://lait.org/fichiers/Revue/PLQ-2011-06/recherche.pdf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canada.ca/fr/sante-publique/sujets/controle-et-surveillance-salubrite-aliment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zZ1KixbPj/wAoKfUAT2hdFNxw==">AMUW2mX8np8KVkDLMbGcGfnbk1553cTu30yNJ+FOpxieUEgIARqe1VdYhU69k9l58UIqcrGAk8+Vpknl3gwPEdbAtZ+g0n5h0jlk4YJ9G9Lxe/3FhLlFcIO0T2XxCL6fDQlpiOky8b+LAX0IXuOSlHsbRnhURqqw9g==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817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2020-07-22T19:28:00Z</dcterms:created>
  <dcterms:modified xsi:type="dcterms:W3CDTF">2020-08-18T16:53:00Z</dcterms:modified>
</cp:coreProperties>
</file>