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0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81"/>
        <w:gridCol w:w="1582"/>
        <w:gridCol w:w="1582"/>
        <w:gridCol w:w="1582"/>
        <w:gridCol w:w="1582"/>
        <w:tblGridChange w:id="0">
          <w:tblGrid>
            <w:gridCol w:w="7481"/>
            <w:gridCol w:w="1582"/>
            <w:gridCol w:w="1582"/>
            <w:gridCol w:w="1582"/>
            <w:gridCol w:w="1582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Nom 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3">
            <w:pPr>
              <w:ind w:left="105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Domaine :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Tâche d’évaluation</w:t>
            </w:r>
          </w:p>
        </w:tc>
      </w:tr>
      <w:t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Attentes</w:t>
            </w:r>
          </w:p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A1. appliquer la méthode scientifique pour réaliser des expériences en laboratoire et sur le terrain, effectuer des recherches et résoudre des problèmes.</w:t>
            </w:r>
          </w:p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E1. décrire les caractéristiques morphologiques et les modes de reproduction des microorganismes et expliquer leurs rôles dans les relations symbiotiques et dans la transmission d’infections</w:t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E2. explorer les caractéristiques des microorganismes en appliquant la méthode scientifique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Compétences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Niveau 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Niveau 2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Niveau 3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Niveau 4</w:t>
            </w:r>
          </w:p>
        </w:tc>
      </w:tr>
      <w:tr>
        <w:trPr>
          <w:trHeight w:val="302" w:hRule="atLeast"/>
        </w:trPr>
        <w:tc>
          <w:tcPr>
            <w:gridSpan w:val="5"/>
          </w:tcPr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Connaissance et compréhension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(CC1) Connaissance des éléments à l’étude  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 principes de sécurité en laboratoire (Q préparatoire)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 structures des microorganismes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connaissance limitée des éléments à l’étude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connaissance partielle des éléments à l’étude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bonne connaissance des éléments à l’étude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connaissance approfondie des éléments à l’étude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(CC2) Compréhension des éléments à l’étude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 rôles des microorganismes (introduction et Q2)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 principes de la phylogénie (Q1)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compréhension limitée des éléments à l’étude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compréhension partielle des éléments à l’étude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bonne compréhension des éléments à l’étude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Démontre une compréhension approfondie des éléments à l’étude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Habiletés de la pensée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(HP1) Utilisation des habiletés de planification 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Identifie selon les normes chacune des sections du rapport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Présente l’ensemble des éléments demandés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Complète l’ensemble des composantes dans le temps alloué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planification avec une efficacité limitée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planification avec une certaine efficacité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planification avec efficacité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planification avec beaucoup d’efficacité 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(HP2) Utilisation des habiletés de traitement de l’information 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analyse ses résultats pour trouver les conditions appropriées à la croissance des microorganismes (Q3)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traitement de l’information avec une efficacité limitée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traitement de l’information avec une certaine efficacité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traitement de l’information avec efficacité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habiletés de traitement de l’information avec beaucoup d’efficacité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(HP3) Utilisation des processus de la pensée critique et de la pensée créative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Déduit le lien entre la croissance des microorganismes et la production du fromage (Q3)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Effectue un retour sur le but du laboratoire (conclusion)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Justifie sa position à l’aide de la théorie et de ses recherches (Q4)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processus de la pensée critique et de la pensée créative de façon peu logique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processus de la pensée critique et de la pensée créative de façon plus ou moins logique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processus de la pensée critique et de la pensée créative de façon logique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processus de la pensée critique et de la pensée créative de façon très logique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(CO1) Expression et organisation des idées et de l’information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690" w:hanging="360"/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Présente ses dessins sur des feuilles blanches respectant l’organisation des espaces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330" w:firstLine="0"/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Exprime et organise les idées et l’information avec une efficacité limitée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Exprime et organise les idées et l’information avec une certaine efficacité 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Exprime et organise les idées et l’information avec efficacité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Exprime et organise les idées et l’information avec beaucoup d’efficacité 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(CO2) Communication des idées et de l’information, de façon orale, écrite et visuelle, à des fins précises et pour des auditoires spécifiques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Mise en page selon les conventions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(Titre, légende, grossissement, coordonnée) 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Schéma grand et centré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Netteté du tracé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Finesse du tracé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Annotations alignées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Choix des patrons (légende)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b05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especte le format demandé pour un rapport de laboratoire (titre, noms et dates, introduction, but, hypothèses, variables, matériel, sécurité, méthode, modifications, observations, analyse et conclusion).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54"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Communique les idées et l’information à des fins précises et pour des auditoires spécifiques avec une efficacité limitée 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Communique les idées et l’information à des fins précises et pour des auditoires spécifiques avec une certaine efficacité 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54"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Communique les idées et l’information à des fins précises et pour des auditoires spécifiques avec efficacité 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54"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Communique les idées et l’information à des fins précises et pour des auditoires spécifiques avec beaucoup d’efficacité 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(CO3) Utilisation des conventions et de la terminologie à l’étude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4"/>
              </w:numPr>
              <w:ind w:left="690" w:hanging="360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Utilise le vocabulaire relié au domaine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4"/>
              </w:numPr>
              <w:ind w:left="690" w:hanging="360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Utilise un ton neutre (pas de pronom personnel de la première personne) dans la présentation des résultats et l’analyse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ind w:left="690" w:hanging="360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Utilise un ton personnel (je ou nous) pour sa conclusion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conventions et la terminologie avec une exactitude limitée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conventions et la terminologie avec une certaine exactitude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conventions et la terminologie avec exactitude 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97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Utilise les conventions et la terminologie avec beaucoup d’exactitude 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Mise en application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(MA1) Application des connaissances et des habiletés dans des contextes familiers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6"/>
              </w:numPr>
              <w:ind w:left="690" w:hanging="36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Dans la production du dessin biologique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8"/>
              </w:numPr>
              <w:spacing w:after="0" w:line="24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Respect des proportions (représentation fidèle du modèle)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8"/>
              </w:numPr>
              <w:spacing w:after="0" w:line="24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Les lignes d’identification sont tracées à la règle 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8"/>
              </w:numPr>
              <w:spacing w:after="0" w:line="24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Les lignes d’identification ne se croisent pas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8"/>
              </w:numPr>
              <w:spacing w:after="0" w:line="24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Les annotations sont spécifiques et valables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8"/>
              </w:numPr>
              <w:spacing w:after="0" w:line="24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Schéma grand et centré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8"/>
              </w:numPr>
              <w:spacing w:after="0" w:line="24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Netteté du tracé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b05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8"/>
              </w:numPr>
              <w:spacing w:after="0" w:line="24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Finesse du tracé 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8"/>
              </w:numPr>
              <w:spacing w:after="0" w:line="24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Annotations alignées 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8"/>
              </w:numPr>
              <w:spacing w:after="54" w:line="24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Choix des patrons (légende)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Applique les connaissances et les habiletés dans des contextes familiers avec une efficacité limitée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Applique les connaissances et les habiletés dans des contextes familiers avec une certaine efficacité 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Applique les connaissances et les habiletés dans des contextes familiers avec efficacité 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Applique les connaissances et les habiletés dans des contextes familiers avec beaucoup d’efficacité 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(MA2) Transfert des connaissances et des habiletés à de nouveaux contextes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Utilise le microscope en suivant toutes les étapes de façon sécuritaire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7D">
            <w:pPr>
              <w:ind w:left="690" w:firstLine="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Vérification initiale 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8"/>
              </w:numPr>
              <w:spacing w:after="54" w:line="24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Position de la lame (centré)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8"/>
              </w:numPr>
              <w:spacing w:after="54" w:line="24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Mise au point de départ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8"/>
              </w:numPr>
              <w:spacing w:after="54" w:line="24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Réglages (procédure, mise au point)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8"/>
              </w:numPr>
              <w:spacing w:after="54" w:line="24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Éclairage (homogène, force)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8"/>
              </w:numPr>
              <w:spacing w:after="54" w:line="24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Objectif (choix)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8"/>
              </w:numPr>
              <w:spacing w:after="54" w:line="240" w:lineRule="auto"/>
              <w:ind w:left="1055" w:hanging="284.00000000000006"/>
              <w:rPr>
                <w:rFonts w:ascii="Arial Narrow" w:cs="Arial Narrow" w:eastAsia="Arial Narrow" w:hAnsi="Arial Narrow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Rangement (remis dans l’état initial) 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Transfert les connaissances et les habiletés dans des contextes familiers avec une efficacité limitée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Transfert les connaissances et les habiletés dans des contextes familiers avec une certaine efficacité 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Transfert les connaissances et les habiletés dans des contextes familiers avec efficacité 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Transfert les connaissances et les habiletés dans des contextes familiers avec beaucoup d’efficacité 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(MA3) Établissement de liens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ind w:left="69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Fait un lien entre les organismes observés et les caractéristiques des espèces (Q1)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5"/>
              </w:numPr>
              <w:ind w:left="690" w:hanging="36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Fait un lien entre les mesures de détection, la sécurité et la santé (Q4)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5"/>
              </w:numPr>
              <w:ind w:left="690" w:hanging="36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Établis des liens entre les conditions du milieu et le maintien d’un écosystème (Q2)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Établit des liens avec une efficacité limitée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Établit des liens avec une certaine efficacité 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Établit des liens avec efficacité 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54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Établit des liens avec beaucoup d’efficacité </w:t>
            </w:r>
          </w:p>
        </w:tc>
      </w:tr>
    </w:tbl>
    <w:p w:rsidR="00000000" w:rsidDel="00000000" w:rsidP="00000000" w:rsidRDefault="00000000" w:rsidRPr="00000000" w14:paraId="0000009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2" w:w="15842"/>
      <w:pgMar w:bottom="1800" w:top="426" w:left="1440" w:right="144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Grille d’évaluation adaptée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64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3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69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cs="Noto Sans Symbols" w:eastAsia="Noto Sans Symbols" w:hAnsi="Noto Sans Symbols"/>
        <w:b w:val="0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⮚"/>
      <w:lvlJc w:val="left"/>
      <w:pPr>
        <w:ind w:left="785" w:hanging="360"/>
      </w:pPr>
      <w:rPr>
        <w:rFonts w:ascii="Noto Sans Symbols" w:cs="Noto Sans Symbols" w:eastAsia="Noto Sans Symbols" w:hAnsi="Noto Sans Symbols"/>
        <w:i w:val="0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⮚"/>
      <w:lvlJc w:val="left"/>
      <w:pPr>
        <w:ind w:left="785" w:hanging="360"/>
      </w:pPr>
      <w:rPr>
        <w:rFonts w:ascii="Noto Sans Symbols" w:cs="Noto Sans Symbols" w:eastAsia="Noto Sans Symbols" w:hAnsi="Noto Sans Symbols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116E69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116E69"/>
  </w:style>
  <w:style w:type="paragraph" w:styleId="Pieddepage">
    <w:name w:val="footer"/>
    <w:basedOn w:val="Normal"/>
    <w:link w:val="PieddepageCar"/>
    <w:uiPriority w:val="99"/>
    <w:unhideWhenUsed w:val="1"/>
    <w:rsid w:val="00116E69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16E69"/>
  </w:style>
  <w:style w:type="table" w:styleId="Grilledutableau">
    <w:name w:val="Table Grid"/>
    <w:basedOn w:val="TableauNormal"/>
    <w:uiPriority w:val="59"/>
    <w:rsid w:val="00116E6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116E6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BeT/YwcyhgQv/pT9yGK6bwhsRw==">AMUW2mXtHrvVjwFIlN1oMW/qWjgv9RZHy2XMxomPgHJFeCI8cAP/l6DbwsVvk2EJ4ieRMGRzcewWCFIvGYU6gz3IEPhLRg5Ckn0g1IQhlohFghp42Fn8JFmj5/ea34TkfABW5fusMNzn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2020-07-19T01:04:00Z</dcterms:created>
  <dc:creator>CECCE</dc:creator>
</cp:coreProperties>
</file>