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-342899</wp:posOffset>
                </wp:positionH>
                <wp:positionV relativeFrom="paragraph">
                  <wp:posOffset>-228599</wp:posOffset>
                </wp:positionV>
                <wp:extent cx="6189345" cy="504825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256090" y="3532350"/>
                          <a:ext cx="6179820" cy="495300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 Narrow" w:cs="Arial Narrow" w:eastAsia="Arial Narrow" w:hAnsi="Arial Narrow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vertAlign w:val="baseline"/>
                              </w:rPr>
                              <w:t xml:space="preserve">Activité enzymatique                                       SBI3C</w:t>
                            </w:r>
                          </w:p>
                        </w:txbxContent>
                      </wps:txbx>
                      <wps:bodyPr anchorCtr="0" anchor="ctr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-342899</wp:posOffset>
                </wp:positionH>
                <wp:positionV relativeFrom="paragraph">
                  <wp:posOffset>-228599</wp:posOffset>
                </wp:positionV>
                <wp:extent cx="6189345" cy="504825"/>
                <wp:effectExtent b="0" l="0" r="0" t="0"/>
                <wp:wrapNone/>
                <wp:docPr id="2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89345" cy="5048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640.0" w:type="dxa"/>
        <w:jc w:val="left"/>
        <w:tblInd w:w="-431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598"/>
        <w:gridCol w:w="2391"/>
        <w:gridCol w:w="5651"/>
        <w:tblGridChange w:id="0">
          <w:tblGrid>
            <w:gridCol w:w="1598"/>
            <w:gridCol w:w="2391"/>
            <w:gridCol w:w="5651"/>
          </w:tblGrid>
        </w:tblGridChange>
      </w:tblGrid>
      <w:tr>
        <w:tc>
          <w:tcPr>
            <w:gridSpan w:val="2"/>
            <w:shd w:fill="deebf6" w:val="clear"/>
          </w:tcPr>
          <w:p w:rsidR="00000000" w:rsidDel="00000000" w:rsidP="00000000" w:rsidRDefault="00000000" w:rsidRPr="00000000" w14:paraId="00000004">
            <w:pPr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 Attentes</w:t>
            </w:r>
          </w:p>
        </w:tc>
        <w:tc>
          <w:tcPr>
            <w:shd w:fill="deebf6" w:val="clear"/>
          </w:tcPr>
          <w:p w:rsidR="00000000" w:rsidDel="00000000" w:rsidP="00000000" w:rsidRDefault="00000000" w:rsidRPr="00000000" w14:paraId="00000006">
            <w:pPr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Contenus d’apprentissage</w:t>
            </w:r>
          </w:p>
        </w:tc>
      </w:tr>
      <w:tr>
        <w:tc>
          <w:tcPr>
            <w:gridSpan w:val="2"/>
          </w:tcPr>
          <w:p w:rsidR="00000000" w:rsidDel="00000000" w:rsidP="00000000" w:rsidRDefault="00000000" w:rsidRPr="00000000" w14:paraId="00000007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A1. appliquer la méthode scientifique pour réaliser des expériences en laboratoire et sur le terrain, effectuer des recherches et résoudre des problèmes </w:t>
            </w:r>
          </w:p>
          <w:p w:rsidR="00000000" w:rsidDel="00000000" w:rsidP="00000000" w:rsidRDefault="00000000" w:rsidRPr="00000000" w14:paraId="00000008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B1. expliquer les processus fondamentaux de la biologie cellulaire. </w:t>
            </w:r>
          </w:p>
          <w:p w:rsidR="00000000" w:rsidDel="00000000" w:rsidP="00000000" w:rsidRDefault="00000000" w:rsidRPr="00000000" w14:paraId="00000010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B2. analyser, en appliquant la méthode scientifique, des caractéristiques des cellules et des facteurs influençant l’activité cellulaire</w:t>
            </w:r>
          </w:p>
        </w:tc>
        <w:tc>
          <w:tcPr/>
          <w:p w:rsidR="00000000" w:rsidDel="00000000" w:rsidP="00000000" w:rsidRDefault="00000000" w:rsidRPr="00000000" w14:paraId="00000013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A1.5 effectuer une expérience en laboratoire ou sur le terrain, exécuter une recherche ou appliquer une stratégie de résolution de problèmes pour répondre à une question de nature scientifique. </w:t>
            </w:r>
          </w:p>
          <w:p w:rsidR="00000000" w:rsidDel="00000000" w:rsidP="00000000" w:rsidRDefault="00000000" w:rsidRPr="00000000" w14:paraId="00000014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A1.6 faire des observations et recueillir des données empiriques à l’aide d’instruments </w:t>
            </w:r>
          </w:p>
          <w:p w:rsidR="00000000" w:rsidDel="00000000" w:rsidP="00000000" w:rsidRDefault="00000000" w:rsidRPr="00000000" w14:paraId="00000015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A1.7 manipuler, entreposer et éliminer les substances de laboratoire en respectant notamment les consignes du Système d’information sur les matières dangereuses utilisées au travail (SIMDUT) </w:t>
            </w:r>
          </w:p>
          <w:p w:rsidR="00000000" w:rsidDel="00000000" w:rsidP="00000000" w:rsidRDefault="00000000" w:rsidRPr="00000000" w14:paraId="00000016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A1.9 analyser et synthétiser les données empiriques ou l’information recueillie</w:t>
            </w:r>
          </w:p>
          <w:p w:rsidR="00000000" w:rsidDel="00000000" w:rsidP="00000000" w:rsidRDefault="00000000" w:rsidRPr="00000000" w14:paraId="00000017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B1.3 expliquer le rôle fondamental des enzymes dans les réactions biochimiques</w:t>
            </w:r>
          </w:p>
          <w:p w:rsidR="00000000" w:rsidDel="00000000" w:rsidP="00000000" w:rsidRDefault="00000000" w:rsidRPr="00000000" w14:paraId="00000019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B2.3 vérifier, à partir d’expériences, l’effet du milieu sur l’activité enzymatique</w:t>
            </w:r>
          </w:p>
          <w:p w:rsidR="00000000" w:rsidDel="00000000" w:rsidP="00000000" w:rsidRDefault="00000000" w:rsidRPr="00000000" w14:paraId="0000001B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4" w:hRule="atLeast"/>
        </w:trPr>
        <w:tc>
          <w:tcPr>
            <w:gridSpan w:val="3"/>
            <w:shd w:fill="d9e2f3" w:val="clear"/>
          </w:tcPr>
          <w:p w:rsidR="00000000" w:rsidDel="00000000" w:rsidP="00000000" w:rsidRDefault="00000000" w:rsidRPr="00000000" w14:paraId="0000001C">
            <w:pPr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Notions </w:t>
            </w:r>
          </w:p>
        </w:tc>
      </w:tr>
      <w:tr>
        <w:trPr>
          <w:trHeight w:val="324" w:hRule="atLeast"/>
        </w:trPr>
        <w:tc>
          <w:tcPr>
            <w:gridSpan w:val="2"/>
            <w:shd w:fill="f2f2f2" w:val="clear"/>
          </w:tcPr>
          <w:p w:rsidR="00000000" w:rsidDel="00000000" w:rsidP="00000000" w:rsidRDefault="00000000" w:rsidRPr="00000000" w14:paraId="0000001F">
            <w:pPr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Terminologie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21">
            <w:pPr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Théorie</w:t>
            </w:r>
          </w:p>
        </w:tc>
      </w:tr>
      <w:tr>
        <w:trPr>
          <w:trHeight w:val="750" w:hRule="atLeast"/>
        </w:trPr>
        <w:tc>
          <w:tcPr>
            <w:shd w:fill="ffffff" w:val="clea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24" w:right="0" w:hanging="324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pH</w:t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24" w:right="0" w:hanging="324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Enzyme</w:t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24" w:right="0" w:hanging="324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Température</w:t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24" w:right="0" w:hanging="324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Coagulation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68" w:right="0" w:hanging="142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Acide</w:t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68" w:right="0" w:hanging="142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Base</w:t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68" w:right="0" w:hanging="142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Macromolécule</w:t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68" w:right="0" w:hanging="142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Protéine 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7" w:right="0" w:hanging="177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Les acides et les bases</w:t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7" w:right="0" w:hanging="177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Les enzymes</w:t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7" w:right="0" w:hanging="177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Les facteurs de dénaturation des protéines</w:t>
            </w:r>
          </w:p>
        </w:tc>
      </w:tr>
      <w:tr>
        <w:trPr>
          <w:trHeight w:val="324" w:hRule="atLeast"/>
        </w:trPr>
        <w:tc>
          <w:tcPr>
            <w:gridSpan w:val="3"/>
            <w:shd w:fill="deebf6" w:val="clear"/>
          </w:tcPr>
          <w:p w:rsidR="00000000" w:rsidDel="00000000" w:rsidP="00000000" w:rsidRDefault="00000000" w:rsidRPr="00000000" w14:paraId="0000002D">
            <w:pPr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Matériel à prévoir</w:t>
            </w:r>
          </w:p>
        </w:tc>
      </w:tr>
      <w:tr>
        <w:trPr>
          <w:trHeight w:val="414" w:hRule="atLeast"/>
        </w:trPr>
        <w:tc>
          <w:tcPr>
            <w:gridSpan w:val="3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Mise en situation</w:t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48" w:right="0" w:hanging="36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Copie de l’activité </w:t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48" w:right="0" w:hanging="36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Copie de la grille d’évaluation</w:t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Activité</w:t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96" w:right="0" w:hanging="36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Ordinateur pour recherche et planification du protocole</w:t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96" w:right="0" w:hanging="36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Matériel selon les types d’évaluation proposé</w:t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96" w:right="0" w:firstLine="0"/>
              <w:jc w:val="left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"/>
              <w:tblW w:w="8221.0" w:type="dxa"/>
              <w:jc w:val="left"/>
              <w:tblInd w:w="603.0" w:type="dxa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400"/>
            </w:tblPr>
            <w:tblGrid>
              <w:gridCol w:w="4104"/>
              <w:gridCol w:w="4117"/>
              <w:tblGridChange w:id="0">
                <w:tblGrid>
                  <w:gridCol w:w="4104"/>
                  <w:gridCol w:w="4117"/>
                </w:tblGrid>
              </w:tblGridChange>
            </w:tblGrid>
            <w:tr>
              <w:tc>
                <w:tcPr>
                  <w:shd w:fill="f2f2f2" w:val="clear"/>
                </w:tcPr>
                <w:p w:rsidR="00000000" w:rsidDel="00000000" w:rsidP="00000000" w:rsidRDefault="00000000" w:rsidRPr="00000000" w14:paraId="00000037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Arial Narrow" w:cs="Arial Narrow" w:eastAsia="Arial Narrow" w:hAnsi="Arial Narrow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 Narrow" w:cs="Arial Narrow" w:eastAsia="Arial Narrow" w:hAnsi="Arial Narrow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  <w:rtl w:val="0"/>
                    </w:rPr>
                    <w:t xml:space="preserve">Matériel</w:t>
                  </w:r>
                </w:p>
              </w:tc>
              <w:tc>
                <w:tcPr>
                  <w:shd w:fill="f2f2f2" w:val="clear"/>
                </w:tcPr>
                <w:p w:rsidR="00000000" w:rsidDel="00000000" w:rsidP="00000000" w:rsidRDefault="00000000" w:rsidRPr="00000000" w14:paraId="00000038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Arial Narrow" w:cs="Arial Narrow" w:eastAsia="Arial Narrow" w:hAnsi="Arial Narrow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 Narrow" w:cs="Arial Narrow" w:eastAsia="Arial Narrow" w:hAnsi="Arial Narrow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  <w:rtl w:val="0"/>
                    </w:rPr>
                    <w:t xml:space="preserve">Périssable</w:t>
                  </w:r>
                </w:p>
              </w:tc>
            </w:tr>
            <w:tr>
              <w:tc>
                <w:tcPr/>
                <w:p w:rsidR="00000000" w:rsidDel="00000000" w:rsidP="00000000" w:rsidRDefault="00000000" w:rsidRPr="00000000" w14:paraId="00000039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Arial Narrow" w:cs="Arial Narrow" w:eastAsia="Arial Narrow" w:hAnsi="Arial Narrow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 Narrow" w:cs="Arial Narrow" w:eastAsia="Arial Narrow" w:hAnsi="Arial Narrow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  <w:rtl w:val="0"/>
                    </w:rPr>
                    <w:t xml:space="preserve">Pipette graduée 0,5 et 1,0 ml</w:t>
                  </w:r>
                </w:p>
                <w:p w:rsidR="00000000" w:rsidDel="00000000" w:rsidP="00000000" w:rsidRDefault="00000000" w:rsidRPr="00000000" w14:paraId="0000003A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Arial Narrow" w:cs="Arial Narrow" w:eastAsia="Arial Narrow" w:hAnsi="Arial Narrow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 Narrow" w:cs="Arial Narrow" w:eastAsia="Arial Narrow" w:hAnsi="Arial Narrow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  <w:rtl w:val="0"/>
                    </w:rPr>
                    <w:t xml:space="preserve">Compte-goutte</w:t>
                  </w:r>
                </w:p>
                <w:p w:rsidR="00000000" w:rsidDel="00000000" w:rsidP="00000000" w:rsidRDefault="00000000" w:rsidRPr="00000000" w14:paraId="0000003B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Arial Narrow" w:cs="Arial Narrow" w:eastAsia="Arial Narrow" w:hAnsi="Arial Narrow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 Narrow" w:cs="Arial Narrow" w:eastAsia="Arial Narrow" w:hAnsi="Arial Narrow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  <w:rtl w:val="0"/>
                    </w:rPr>
                    <w:t xml:space="preserve">Plaque chauffante + bécher ou bain chauffant</w:t>
                  </w:r>
                </w:p>
                <w:p w:rsidR="00000000" w:rsidDel="00000000" w:rsidP="00000000" w:rsidRDefault="00000000" w:rsidRPr="00000000" w14:paraId="0000003C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Arial Narrow" w:cs="Arial Narrow" w:eastAsia="Arial Narrow" w:hAnsi="Arial Narrow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 Narrow" w:cs="Arial Narrow" w:eastAsia="Arial Narrow" w:hAnsi="Arial Narrow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  <w:rtl w:val="0"/>
                    </w:rPr>
                    <w:t xml:space="preserve">Thermomètre</w:t>
                  </w:r>
                </w:p>
                <w:p w:rsidR="00000000" w:rsidDel="00000000" w:rsidP="00000000" w:rsidRDefault="00000000" w:rsidRPr="00000000" w14:paraId="0000003D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Arial Narrow" w:cs="Arial Narrow" w:eastAsia="Arial Narrow" w:hAnsi="Arial Narrow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 Narrow" w:cs="Arial Narrow" w:eastAsia="Arial Narrow" w:hAnsi="Arial Narrow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  <w:rtl w:val="0"/>
                    </w:rPr>
                    <w:t xml:space="preserve">Éprouvette ou tube d’essai du 20 ml</w:t>
                  </w:r>
                </w:p>
                <w:p w:rsidR="00000000" w:rsidDel="00000000" w:rsidP="00000000" w:rsidRDefault="00000000" w:rsidRPr="00000000" w14:paraId="0000003E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Arial Narrow" w:cs="Arial Narrow" w:eastAsia="Arial Narrow" w:hAnsi="Arial Narrow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 Narrow" w:cs="Arial Narrow" w:eastAsia="Arial Narrow" w:hAnsi="Arial Narrow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  <w:rtl w:val="0"/>
                    </w:rPr>
                    <w:t xml:space="preserve">Chronomètre</w:t>
                  </w:r>
                </w:p>
                <w:p w:rsidR="00000000" w:rsidDel="00000000" w:rsidP="00000000" w:rsidRDefault="00000000" w:rsidRPr="00000000" w14:paraId="0000003F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Arial Narrow" w:cs="Arial Narrow" w:eastAsia="Arial Narrow" w:hAnsi="Arial Narrow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 Narrow" w:cs="Arial Narrow" w:eastAsia="Arial Narrow" w:hAnsi="Arial Narrow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  <w:rtl w:val="0"/>
                    </w:rPr>
                    <w:t xml:space="preserve">Support éprouvette</w:t>
                  </w:r>
                </w:p>
                <w:p w:rsidR="00000000" w:rsidDel="00000000" w:rsidP="00000000" w:rsidRDefault="00000000" w:rsidRPr="00000000" w14:paraId="00000040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Arial Narrow" w:cs="Arial Narrow" w:eastAsia="Arial Narrow" w:hAnsi="Arial Narrow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 Narrow" w:cs="Arial Narrow" w:eastAsia="Arial Narrow" w:hAnsi="Arial Narrow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  <w:rtl w:val="0"/>
                    </w:rPr>
                    <w:t xml:space="preserve">Papier pH ou pH-mètre</w:t>
                  </w:r>
                </w:p>
                <w:p w:rsidR="00000000" w:rsidDel="00000000" w:rsidP="00000000" w:rsidRDefault="00000000" w:rsidRPr="00000000" w14:paraId="00000041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Arial Narrow" w:cs="Arial Narrow" w:eastAsia="Arial Narrow" w:hAnsi="Arial Narrow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 Narrow" w:cs="Arial Narrow" w:eastAsia="Arial Narrow" w:hAnsi="Arial Narrow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  <w:rtl w:val="0"/>
                    </w:rPr>
                    <w:t xml:space="preserve">Entonnoir</w:t>
                  </w:r>
                </w:p>
                <w:p w:rsidR="00000000" w:rsidDel="00000000" w:rsidP="00000000" w:rsidRDefault="00000000" w:rsidRPr="00000000" w14:paraId="00000042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Arial Narrow" w:cs="Arial Narrow" w:eastAsia="Arial Narrow" w:hAnsi="Arial Narrow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 Narrow" w:cs="Arial Narrow" w:eastAsia="Arial Narrow" w:hAnsi="Arial Narrow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  <w:rtl w:val="0"/>
                    </w:rPr>
                    <w:t xml:space="preserve">Coton fromage ou Papier filtre</w:t>
                  </w:r>
                </w:p>
                <w:p w:rsidR="00000000" w:rsidDel="00000000" w:rsidP="00000000" w:rsidRDefault="00000000" w:rsidRPr="00000000" w14:paraId="00000043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Arial Narrow" w:cs="Arial Narrow" w:eastAsia="Arial Narrow" w:hAnsi="Arial Narrow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 Narrow" w:cs="Arial Narrow" w:eastAsia="Arial Narrow" w:hAnsi="Arial Narrow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  <w:rtl w:val="0"/>
                    </w:rPr>
                    <w:t xml:space="preserve">Spatule </w:t>
                  </w:r>
                </w:p>
                <w:p w:rsidR="00000000" w:rsidDel="00000000" w:rsidP="00000000" w:rsidRDefault="00000000" w:rsidRPr="00000000" w14:paraId="00000044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Arial Narrow" w:cs="Arial Narrow" w:eastAsia="Arial Narrow" w:hAnsi="Arial Narrow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 Narrow" w:cs="Arial Narrow" w:eastAsia="Arial Narrow" w:hAnsi="Arial Narrow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  <w:rtl w:val="0"/>
                    </w:rPr>
                    <w:t xml:space="preserve">Cylindre gradué</w:t>
                  </w:r>
                </w:p>
              </w:tc>
              <w:tc>
                <w:tcPr/>
                <w:p w:rsidR="00000000" w:rsidDel="00000000" w:rsidP="00000000" w:rsidRDefault="00000000" w:rsidRPr="00000000" w14:paraId="00000045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Arial Narrow" w:cs="Arial Narrow" w:eastAsia="Arial Narrow" w:hAnsi="Arial Narrow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 Narrow" w:cs="Arial Narrow" w:eastAsia="Arial Narrow" w:hAnsi="Arial Narrow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  <w:rtl w:val="0"/>
                    </w:rPr>
                    <w:t xml:space="preserve">Présure animale</w:t>
                  </w:r>
                </w:p>
                <w:p w:rsidR="00000000" w:rsidDel="00000000" w:rsidP="00000000" w:rsidRDefault="00000000" w:rsidRPr="00000000" w14:paraId="00000046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Arial Narrow" w:cs="Arial Narrow" w:eastAsia="Arial Narrow" w:hAnsi="Arial Narrow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 Narrow" w:cs="Arial Narrow" w:eastAsia="Arial Narrow" w:hAnsi="Arial Narrow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  <w:rtl w:val="0"/>
                    </w:rPr>
                    <w:t xml:space="preserve">Présure végétale</w:t>
                  </w:r>
                </w:p>
                <w:p w:rsidR="00000000" w:rsidDel="00000000" w:rsidP="00000000" w:rsidRDefault="00000000" w:rsidRPr="00000000" w14:paraId="00000047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Arial Narrow" w:cs="Arial Narrow" w:eastAsia="Arial Narrow" w:hAnsi="Arial Narrow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 Narrow" w:cs="Arial Narrow" w:eastAsia="Arial Narrow" w:hAnsi="Arial Narrow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  <w:rtl w:val="0"/>
                    </w:rPr>
                    <w:t xml:space="preserve">Chymosine produite par fermentation</w:t>
                  </w:r>
                </w:p>
                <w:p w:rsidR="00000000" w:rsidDel="00000000" w:rsidP="00000000" w:rsidRDefault="00000000" w:rsidRPr="00000000" w14:paraId="00000048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Arial Narrow" w:cs="Arial Narrow" w:eastAsia="Arial Narrow" w:hAnsi="Arial Narrow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 Narrow" w:cs="Arial Narrow" w:eastAsia="Arial Narrow" w:hAnsi="Arial Narrow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  <w:rtl w:val="0"/>
                    </w:rPr>
                    <w:t xml:space="preserve">Jus de citron</w:t>
                  </w:r>
                </w:p>
                <w:p w:rsidR="00000000" w:rsidDel="00000000" w:rsidP="00000000" w:rsidRDefault="00000000" w:rsidRPr="00000000" w14:paraId="00000049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Arial Narrow" w:cs="Arial Narrow" w:eastAsia="Arial Narrow" w:hAnsi="Arial Narrow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 Narrow" w:cs="Arial Narrow" w:eastAsia="Arial Narrow" w:hAnsi="Arial Narrow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  <w:rtl w:val="0"/>
                    </w:rPr>
                    <w:t xml:space="preserve">Acide acétique 5 % </w:t>
                  </w:r>
                </w:p>
                <w:p w:rsidR="00000000" w:rsidDel="00000000" w:rsidP="00000000" w:rsidRDefault="00000000" w:rsidRPr="00000000" w14:paraId="0000004A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Arial Narrow" w:cs="Arial Narrow" w:eastAsia="Arial Narrow" w:hAnsi="Arial Narrow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 Narrow" w:cs="Arial Narrow" w:eastAsia="Arial Narrow" w:hAnsi="Arial Narrow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  <w:rtl w:val="0"/>
                    </w:rPr>
                    <w:t xml:space="preserve">Solution de bicarbonate de sodium 5 %</w:t>
                  </w:r>
                </w:p>
                <w:p w:rsidR="00000000" w:rsidDel="00000000" w:rsidP="00000000" w:rsidRDefault="00000000" w:rsidRPr="00000000" w14:paraId="0000004B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Arial Narrow" w:cs="Arial Narrow" w:eastAsia="Arial Narrow" w:hAnsi="Arial Narrow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 Narrow" w:cs="Arial Narrow" w:eastAsia="Arial Narrow" w:hAnsi="Arial Narrow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  <w:rtl w:val="0"/>
                    </w:rPr>
                    <w:t xml:space="preserve">Crème 10 %</w:t>
                  </w:r>
                </w:p>
                <w:p w:rsidR="00000000" w:rsidDel="00000000" w:rsidP="00000000" w:rsidRDefault="00000000" w:rsidRPr="00000000" w14:paraId="0000004C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Arial Narrow" w:cs="Arial Narrow" w:eastAsia="Arial Narrow" w:hAnsi="Arial Narrow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 Narrow" w:cs="Arial Narrow" w:eastAsia="Arial Narrow" w:hAnsi="Arial Narrow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  <w:rtl w:val="0"/>
                    </w:rPr>
                    <w:t xml:space="preserve">Lait entier</w:t>
                  </w:r>
                </w:p>
                <w:p w:rsidR="00000000" w:rsidDel="00000000" w:rsidP="00000000" w:rsidRDefault="00000000" w:rsidRPr="00000000" w14:paraId="0000004D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Arial Narrow" w:cs="Arial Narrow" w:eastAsia="Arial Narrow" w:hAnsi="Arial Narrow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 Narrow" w:cs="Arial Narrow" w:eastAsia="Arial Narrow" w:hAnsi="Arial Narrow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  <w:rtl w:val="0"/>
                    </w:rPr>
                    <w:t xml:space="preserve">Lait 0 %</w:t>
                  </w:r>
                </w:p>
                <w:p w:rsidR="00000000" w:rsidDel="00000000" w:rsidP="00000000" w:rsidRDefault="00000000" w:rsidRPr="00000000" w14:paraId="0000004E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Arial Narrow" w:cs="Arial Narrow" w:eastAsia="Arial Narrow" w:hAnsi="Arial Narrow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 Narrow" w:cs="Arial Narrow" w:eastAsia="Arial Narrow" w:hAnsi="Arial Narrow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  <w:rtl w:val="0"/>
                    </w:rPr>
                    <w:t xml:space="preserve">Glace</w:t>
                  </w:r>
                </w:p>
                <w:p w:rsidR="00000000" w:rsidDel="00000000" w:rsidP="00000000" w:rsidRDefault="00000000" w:rsidRPr="00000000" w14:paraId="0000004F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Arial Narrow" w:cs="Arial Narrow" w:eastAsia="Arial Narrow" w:hAnsi="Arial Narrow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 Narrow" w:cs="Arial Narrow" w:eastAsia="Arial Narrow" w:hAnsi="Arial Narrow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  <w:rtl w:val="0"/>
                    </w:rPr>
                    <w:t xml:space="preserve">Eau distillée </w:t>
                  </w:r>
                </w:p>
                <w:p w:rsidR="00000000" w:rsidDel="00000000" w:rsidP="00000000" w:rsidRDefault="00000000" w:rsidRPr="00000000" w14:paraId="00000050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Arial Narrow" w:cs="Arial Narrow" w:eastAsia="Arial Narrow" w:hAnsi="Arial Narrow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 Narrow" w:cs="Arial Narrow" w:eastAsia="Arial Narrow" w:hAnsi="Arial Narrow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  <w:rtl w:val="0"/>
                    </w:rPr>
                    <w:t xml:space="preserve">Parafilm</w:t>
                  </w:r>
                </w:p>
              </w:tc>
            </w:tr>
          </w:tbl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Pour aller plus loin</w:t>
            </w:r>
          </w:p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02" w:right="0" w:hanging="36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Ordinateur pour analyse et rapport</w:t>
            </w:r>
          </w:p>
        </w:tc>
      </w:tr>
      <w:tr>
        <w:trPr>
          <w:trHeight w:val="330" w:hRule="atLeast"/>
        </w:trPr>
        <w:tc>
          <w:tcPr>
            <w:gridSpan w:val="3"/>
            <w:shd w:fill="c9daf8" w:val="clear"/>
          </w:tcPr>
          <w:p w:rsidR="00000000" w:rsidDel="00000000" w:rsidP="00000000" w:rsidRDefault="00000000" w:rsidRPr="00000000" w14:paraId="00000056">
            <w:pPr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Activité</w:t>
            </w:r>
          </w:p>
        </w:tc>
      </w:tr>
      <w:tr>
        <w:trPr>
          <w:trHeight w:val="844" w:hRule="atLeast"/>
        </w:trPr>
        <w:tc>
          <w:tcPr>
            <w:gridSpan w:val="3"/>
          </w:tcPr>
          <w:p w:rsidR="00000000" w:rsidDel="00000000" w:rsidP="00000000" w:rsidRDefault="00000000" w:rsidRPr="00000000" w14:paraId="00000059">
            <w:pPr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Mise en situation</w:t>
            </w:r>
          </w:p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559.0551181102362" w:right="0" w:hanging="360.0000000000001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Vidéo, les étapes de la production de fromage : le caillage action des enzymes</w:t>
            </w:r>
          </w:p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559.0551181102362" w:right="0" w:hanging="360.0000000000001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Les matières premières pour faire un fromage</w:t>
            </w:r>
          </w:p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559.0551181102362" w:right="0" w:hanging="360.0000000000001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Présentation du travail</w:t>
            </w:r>
          </w:p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559.0551181102362" w:right="0" w:hanging="360.0000000000001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Recherche et sélection de la variable à étudier</w:t>
            </w:r>
          </w:p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559.0551181102362" w:right="0" w:firstLine="0"/>
              <w:jc w:val="left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18" w:hRule="atLeast"/>
        </w:trPr>
        <w:tc>
          <w:tcPr>
            <w:gridSpan w:val="3"/>
          </w:tcPr>
          <w:p w:rsidR="00000000" w:rsidDel="00000000" w:rsidP="00000000" w:rsidRDefault="00000000" w:rsidRPr="00000000" w14:paraId="00000061">
            <w:pPr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Activité — partie 1 — Planification</w:t>
            </w:r>
          </w:p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559.0551181102362" w:right="0" w:hanging="360.0000000000001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Regrouper les élèves </w:t>
            </w:r>
          </w:p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559.0551181102362" w:right="0" w:hanging="360.0000000000001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Diviser les tables de travail en fonction des variables choisies </w:t>
            </w:r>
          </w:p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559.0551181102362" w:right="0" w:hanging="360.0000000000001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Les élèves complètent le protocole de laboratoire. [hypothèse, matériel et méthode] </w:t>
            </w:r>
          </w:p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559.0551181102362" w:right="0" w:hanging="360.0000000000001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Approuver le protocole avant la journée du laboratoire</w:t>
            </w:r>
          </w:p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559.0551181102362" w:right="0" w:firstLine="0"/>
              <w:jc w:val="left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Activité — partie 2 — Expérience</w:t>
            </w:r>
          </w:p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559.0551181102362" w:right="0" w:hanging="360.0000000000001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S’assurer que les élèves suivent les directives approuvées</w:t>
            </w:r>
          </w:p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559.0551181102362" w:right="0" w:firstLine="0"/>
              <w:jc w:val="left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58" w:hRule="atLeast"/>
        </w:trPr>
        <w:tc>
          <w:tcPr>
            <w:gridSpan w:val="3"/>
          </w:tcPr>
          <w:p w:rsidR="00000000" w:rsidDel="00000000" w:rsidP="00000000" w:rsidRDefault="00000000" w:rsidRPr="00000000" w14:paraId="0000006C">
            <w:pPr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Pour aller plus loin</w:t>
            </w:r>
          </w:p>
          <w:p w:rsidR="00000000" w:rsidDel="00000000" w:rsidP="00000000" w:rsidRDefault="00000000" w:rsidRPr="00000000" w14:paraId="0000006D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Mettre en commun les résultats des différentes équipes afin de déterminer les critères à combiner pour obtenir le meilleur rendement</w:t>
            </w:r>
          </w:p>
          <w:p w:rsidR="00000000" w:rsidDel="00000000" w:rsidP="00000000" w:rsidRDefault="00000000" w:rsidRPr="00000000" w14:paraId="0000006E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Faire un laboratoire de vérification pour vérifier le choix des facteurs optimaux de coagulation</w:t>
            </w:r>
          </w:p>
          <w:p w:rsidR="00000000" w:rsidDel="00000000" w:rsidP="00000000" w:rsidRDefault="00000000" w:rsidRPr="00000000" w14:paraId="00000070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</w:tcPr>
          <w:p w:rsidR="00000000" w:rsidDel="00000000" w:rsidP="00000000" w:rsidRDefault="00000000" w:rsidRPr="00000000" w14:paraId="00000073">
            <w:pPr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Évaluation</w:t>
            </w:r>
          </w:p>
          <w:p w:rsidR="00000000" w:rsidDel="00000000" w:rsidP="00000000" w:rsidRDefault="00000000" w:rsidRPr="00000000" w14:paraId="00000074">
            <w:pPr>
              <w:keepNext w:val="0"/>
              <w:keepLines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559.0551181102362" w:right="0" w:hanging="360.0000000000001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Sommative : écriture de la section matériel et méthode</w:t>
            </w:r>
          </w:p>
          <w:p w:rsidR="00000000" w:rsidDel="00000000" w:rsidP="00000000" w:rsidRDefault="00000000" w:rsidRPr="00000000" w14:paraId="00000075">
            <w:pPr>
              <w:keepNext w:val="0"/>
              <w:keepLines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559.0551181102362" w:right="0" w:hanging="360.0000000000001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Sommative : travail en laboratoire — rapport de laboratoire</w:t>
            </w:r>
          </w:p>
        </w:tc>
      </w:tr>
      <w:tr>
        <w:tc>
          <w:tcPr>
            <w:gridSpan w:val="3"/>
          </w:tcPr>
          <w:p w:rsidR="00000000" w:rsidDel="00000000" w:rsidP="00000000" w:rsidRDefault="00000000" w:rsidRPr="00000000" w14:paraId="00000078">
            <w:pPr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Ressources</w:t>
            </w:r>
          </w:p>
          <w:p w:rsidR="00000000" w:rsidDel="00000000" w:rsidP="00000000" w:rsidRDefault="00000000" w:rsidRPr="00000000" w14:paraId="00000079">
            <w:pPr>
              <w:keepNext w:val="0"/>
              <w:keepLines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559.0551181102362" w:right="0" w:hanging="360.0000000000001"/>
              <w:jc w:val="left"/>
              <w:rPr>
                <w:rFonts w:ascii="Arial Narrow" w:cs="Arial Narrow" w:eastAsia="Arial Narrow" w:hAnsi="Arial Narrow"/>
                <w:i w:val="0"/>
                <w:smallCaps w:val="0"/>
                <w:strike w:val="0"/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Exemple de protocole</w:t>
            </w:r>
          </w:p>
          <w:p w:rsidR="00000000" w:rsidDel="00000000" w:rsidP="00000000" w:rsidRDefault="00000000" w:rsidRPr="00000000" w14:paraId="0000007A">
            <w:pPr>
              <w:keepNext w:val="0"/>
              <w:keepLines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559.0551181102362" w:right="0" w:hanging="360.0000000000001"/>
              <w:jc w:val="left"/>
              <w:rPr>
                <w:rFonts w:ascii="Arial Narrow" w:cs="Arial Narrow" w:eastAsia="Arial Narrow" w:hAnsi="Arial Narrow"/>
                <w:i w:val="0"/>
                <w:smallCaps w:val="0"/>
                <w:strike w:val="0"/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Fournisseur matériel</w:t>
            </w:r>
          </w:p>
          <w:p w:rsidR="00000000" w:rsidDel="00000000" w:rsidP="00000000" w:rsidRDefault="00000000" w:rsidRPr="00000000" w14:paraId="0000007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Internet </w:t>
            </w:r>
          </w:p>
          <w:p w:rsidR="00000000" w:rsidDel="00000000" w:rsidP="00000000" w:rsidRDefault="00000000" w:rsidRPr="00000000" w14:paraId="0000007C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08" w:right="0" w:hanging="284"/>
              <w:jc w:val="left"/>
              <w:rPr>
                <w:rFonts w:ascii="Arial Narrow" w:cs="Arial Narrow" w:eastAsia="Arial Narrow" w:hAnsi="Arial Narrow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hyperlink r:id="rId8">
              <w:r w:rsidDel="00000000" w:rsidR="00000000" w:rsidRPr="00000000">
                <w:rPr>
                  <w:rFonts w:ascii="Arial Narrow" w:cs="Arial Narrow" w:eastAsia="Arial Narrow" w:hAnsi="Arial Narrow"/>
                  <w:b w:val="0"/>
                  <w:i w:val="0"/>
                  <w:smallCaps w:val="0"/>
                  <w:strike w:val="0"/>
                  <w:color w:val="000000"/>
                  <w:sz w:val="18"/>
                  <w:szCs w:val="18"/>
                  <w:u w:val="none"/>
                  <w:shd w:fill="auto" w:val="clear"/>
                  <w:vertAlign w:val="baseline"/>
                  <w:rtl w:val="0"/>
                </w:rPr>
                <w:t xml:space="preserve">Remplacer les agents de conservation chimiques par un biofilm fonctionnel aux propriétés antimicrobiennes, antioxydantes et bioréactives. 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58595b"/>
                <w:sz w:val="18"/>
                <w:szCs w:val="18"/>
                <w:rtl w:val="0"/>
              </w:rPr>
              <w:t xml:space="preserve">               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58595b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[</w:t>
            </w:r>
            <w:hyperlink r:id="rId9">
              <w:r w:rsidDel="00000000" w:rsidR="00000000" w:rsidRPr="00000000">
                <w:rPr>
                  <w:rFonts w:ascii="Arial Narrow" w:cs="Arial Narrow" w:eastAsia="Arial Narrow" w:hAnsi="Arial Narrow"/>
                  <w:b w:val="0"/>
                  <w:i w:val="1"/>
                  <w:smallCaps w:val="0"/>
                  <w:strike w:val="0"/>
                  <w:color w:val="0000ff"/>
                  <w:sz w:val="18"/>
                  <w:szCs w:val="18"/>
                  <w:u w:val="single"/>
                  <w:shd w:fill="auto" w:val="clear"/>
                  <w:vertAlign w:val="baseline"/>
                  <w:rtl w:val="0"/>
                </w:rPr>
                <w:t xml:space="preserve">https://www.cbc.ca/news/canada/nova-scotia/cape-breton-researchers-looking-into-plastic-that-kills-covid-19-1.5633150</w:t>
              </w:r>
            </w:hyperlink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]</w:t>
            </w:r>
          </w:p>
          <w:p w:rsidR="00000000" w:rsidDel="00000000" w:rsidP="00000000" w:rsidRDefault="00000000" w:rsidRPr="00000000" w14:paraId="0000007E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08" w:right="0" w:hanging="284"/>
              <w:jc w:val="left"/>
              <w:rPr>
                <w:rFonts w:ascii="Arial Narrow" w:cs="Arial Narrow" w:eastAsia="Arial Narrow" w:hAnsi="Arial Narrow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hyperlink r:id="rId10">
              <w:r w:rsidDel="00000000" w:rsidR="00000000" w:rsidRPr="00000000">
                <w:rPr>
                  <w:rFonts w:ascii="Arial Narrow" w:cs="Arial Narrow" w:eastAsia="Arial Narrow" w:hAnsi="Arial Narrow"/>
                  <w:b w:val="0"/>
                  <w:i w:val="0"/>
                  <w:smallCaps w:val="0"/>
                  <w:strike w:val="0"/>
                  <w:color w:val="000000"/>
                  <w:sz w:val="18"/>
                  <w:szCs w:val="18"/>
                  <w:u w:val="none"/>
                  <w:shd w:fill="auto" w:val="clear"/>
                  <w:vertAlign w:val="baseline"/>
                  <w:rtl w:val="0"/>
                </w:rPr>
                <w:t xml:space="preserve">Biofilm</w:t>
              </w:r>
            </w:hyperlink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[</w:t>
            </w:r>
            <w:hyperlink r:id="rId11">
              <w:r w:rsidDel="00000000" w:rsidR="00000000" w:rsidRPr="00000000">
                <w:rPr>
                  <w:rFonts w:ascii="Arial Narrow" w:cs="Arial Narrow" w:eastAsia="Arial Narrow" w:hAnsi="Arial Narrow"/>
                  <w:b w:val="0"/>
                  <w:i w:val="0"/>
                  <w:smallCaps w:val="0"/>
                  <w:strike w:val="0"/>
                  <w:color w:val="0000ff"/>
                  <w:sz w:val="18"/>
                  <w:szCs w:val="18"/>
                  <w:u w:val="single"/>
                  <w:shd w:fill="auto" w:val="clear"/>
                  <w:vertAlign w:val="baseline"/>
                  <w:rtl w:val="0"/>
                </w:rPr>
                <w:t xml:space="preserve">https://innovateurscanadiensenalimentation.ca/projet/a-la-recherche-d-une-solution-naturelle-contre-la-presence-d-agents-pathogenes-et-de-bacteries-de-contamination-dans-les-produits-de-volaille-et-de-legumes-surgeles</w:t>
              </w:r>
            </w:hyperlink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]</w:t>
            </w:r>
          </w:p>
          <w:p w:rsidR="00000000" w:rsidDel="00000000" w:rsidP="00000000" w:rsidRDefault="00000000" w:rsidRPr="00000000" w14:paraId="0000007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53" w:right="0" w:firstLine="0"/>
              <w:jc w:val="left"/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2">
      <w:pPr>
        <w:rPr/>
      </w:pPr>
      <w:r w:rsidDel="00000000" w:rsidR="00000000" w:rsidRPr="00000000">
        <w:rPr>
          <w:rtl w:val="0"/>
        </w:rPr>
      </w:r>
    </w:p>
    <w:sectPr>
      <w:pgSz w:h="15840" w:w="12240"/>
      <w:pgMar w:bottom="1440" w:top="1418" w:left="1800" w:right="180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  <w:font w:name="Courier New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1476" w:hanging="360"/>
      </w:pPr>
      <w:rPr>
        <w:rFonts w:ascii="Calibri" w:cs="Calibri" w:eastAsia="Calibri" w:hAnsi="Calibri"/>
      </w:rPr>
    </w:lvl>
    <w:lvl w:ilvl="1">
      <w:start w:val="1"/>
      <w:numFmt w:val="bullet"/>
      <w:lvlText w:val="o"/>
      <w:lvlJc w:val="left"/>
      <w:pPr>
        <w:ind w:left="2196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916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636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56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076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796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516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236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902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622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342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062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782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502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222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942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662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1753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473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3193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913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633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353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6073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793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513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1559.0551181102362" w:hanging="360.0000000000002"/>
      </w:pPr>
      <w:rPr>
        <w:rFonts w:ascii="Noto Sans Symbols" w:cs="Noto Sans Symbols" w:eastAsia="Noto Sans Symbols" w:hAnsi="Noto Sans Symbols"/>
        <w:sz w:val="16"/>
        <w:szCs w:val="16"/>
      </w:rPr>
    </w:lvl>
    <w:lvl w:ilvl="1">
      <w:start w:val="1"/>
      <w:numFmt w:val="bullet"/>
      <w:lvlText w:val="o"/>
      <w:lvlJc w:val="left"/>
      <w:pPr>
        <w:ind w:left="2232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952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672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92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112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832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552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272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●"/>
      <w:lvlJc w:val="left"/>
      <w:pPr>
        <w:ind w:left="948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668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388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108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828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548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268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988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708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bullet"/>
      <w:lvlText w:val="●"/>
      <w:lvlJc w:val="left"/>
      <w:pPr>
        <w:ind w:left="996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716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436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156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876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596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316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036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756" w:hanging="360"/>
      </w:pPr>
      <w:rPr>
        <w:rFonts w:ascii="Noto Sans Symbols" w:cs="Noto Sans Symbols" w:eastAsia="Noto Sans Symbols" w:hAnsi="Noto Sans Symbols"/>
      </w:rPr>
    </w:lvl>
  </w:abstractNum>
  <w:abstractNum w:abstractNumId="7">
    <w:lvl w:ilvl="0">
      <w:start w:val="1"/>
      <w:numFmt w:val="bullet"/>
      <w:lvlText w:val="●"/>
      <w:lvlJc w:val="left"/>
      <w:pPr>
        <w:ind w:left="1559.0551181102362" w:hanging="360.0000000000002"/>
      </w:pPr>
      <w:rPr>
        <w:rFonts w:ascii="Calibri" w:cs="Calibri" w:eastAsia="Calibri" w:hAnsi="Calibri"/>
        <w:sz w:val="16"/>
        <w:szCs w:val="16"/>
      </w:rPr>
    </w:lvl>
    <w:lvl w:ilvl="1">
      <w:start w:val="1"/>
      <w:numFmt w:val="bullet"/>
      <w:lvlText w:val="○"/>
      <w:lvlJc w:val="left"/>
      <w:pPr>
        <w:ind w:left="2148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■"/>
      <w:lvlJc w:val="left"/>
      <w:pPr>
        <w:ind w:left="2868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588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○"/>
      <w:lvlJc w:val="left"/>
      <w:pPr>
        <w:ind w:left="4308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■"/>
      <w:lvlJc w:val="left"/>
      <w:pPr>
        <w:ind w:left="5028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748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○"/>
      <w:lvlJc w:val="left"/>
      <w:pPr>
        <w:ind w:left="6468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■"/>
      <w:lvlJc w:val="left"/>
      <w:pPr>
        <w:ind w:left="7188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fr-CA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/>
    <w:rPr>
      <w:rFonts w:ascii="Times New Roman" w:cs="Times New Roman" w:eastAsia="Times New Roman" w:hAnsi="Times New Roman"/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itre4">
    <w:name w:val="heading 4"/>
    <w:basedOn w:val="Normal"/>
    <w:link w:val="Titre4Car"/>
    <w:uiPriority w:val="9"/>
    <w:qFormat w:val="1"/>
    <w:rsid w:val="00A04924"/>
    <w:pPr>
      <w:spacing w:after="100" w:afterAutospacing="1" w:before="100" w:beforeAutospacing="1"/>
      <w:outlineLvl w:val="3"/>
    </w:pPr>
    <w:rPr>
      <w:rFonts w:ascii="Times New Roman" w:cs="Times New Roman" w:eastAsia="Times New Roman" w:hAnsi="Times New Roman"/>
      <w:b w:val="1"/>
      <w:bCs w:val="1"/>
      <w:sz w:val="24"/>
      <w:szCs w:val="24"/>
      <w:lang w:eastAsia="fr-CA"/>
    </w:rPr>
  </w:style>
  <w:style w:type="character" w:styleId="Policepardfaut" w:default="1">
    <w:name w:val="Default Paragraph Font"/>
    <w:uiPriority w:val="1"/>
    <w:semiHidden w:val="1"/>
    <w:unhideWhenUsed w:val="1"/>
  </w:style>
  <w:style w:type="table" w:styleId="Tableau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ucuneliste" w:default="1">
    <w:name w:val="No List"/>
    <w:uiPriority w:val="99"/>
    <w:semiHidden w:val="1"/>
    <w:unhideWhenUsed w:val="1"/>
  </w:style>
  <w:style w:type="table" w:styleId="Grilledutableau">
    <w:name w:val="Table Grid"/>
    <w:basedOn w:val="TableauNormal"/>
    <w:uiPriority w:val="39"/>
    <w:rsid w:val="00435276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ansinterligne">
    <w:name w:val="No Spacing"/>
    <w:uiPriority w:val="1"/>
    <w:qFormat w:val="1"/>
    <w:rsid w:val="00A75081"/>
  </w:style>
  <w:style w:type="character" w:styleId="Titre4Car" w:customStyle="1">
    <w:name w:val="Titre 4 Car"/>
    <w:basedOn w:val="Policepardfaut"/>
    <w:link w:val="Titre4"/>
    <w:uiPriority w:val="9"/>
    <w:rsid w:val="00A04924"/>
    <w:rPr>
      <w:rFonts w:ascii="Times New Roman" w:cs="Times New Roman" w:eastAsia="Times New Roman" w:hAnsi="Times New Roman"/>
      <w:b w:val="1"/>
      <w:bCs w:val="1"/>
      <w:sz w:val="24"/>
      <w:szCs w:val="24"/>
      <w:lang w:eastAsia="fr-CA"/>
    </w:rPr>
  </w:style>
  <w:style w:type="paragraph" w:styleId="Paragraphedeliste">
    <w:name w:val="List Paragraph"/>
    <w:basedOn w:val="Normal"/>
    <w:uiPriority w:val="34"/>
    <w:qFormat w:val="1"/>
    <w:rsid w:val="006145A3"/>
    <w:pPr>
      <w:ind w:left="720"/>
      <w:contextualSpacing w:val="1"/>
    </w:pPr>
  </w:style>
  <w:style w:type="character" w:styleId="Lienhypertexte">
    <w:name w:val="Hyperlink"/>
    <w:basedOn w:val="Policepardfaut"/>
    <w:uiPriority w:val="99"/>
    <w:unhideWhenUsed w:val="1"/>
    <w:rsid w:val="00E412F7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 w:val="1"/>
    <w:rsid w:val="0071529D"/>
    <w:pPr>
      <w:tabs>
        <w:tab w:val="center" w:pos="4320"/>
        <w:tab w:val="right" w:pos="8640"/>
      </w:tabs>
    </w:pPr>
  </w:style>
  <w:style w:type="character" w:styleId="En-tteCar" w:customStyle="1">
    <w:name w:val="En-tête Car"/>
    <w:basedOn w:val="Policepardfaut"/>
    <w:link w:val="En-tte"/>
    <w:uiPriority w:val="99"/>
    <w:rsid w:val="0071529D"/>
  </w:style>
  <w:style w:type="paragraph" w:styleId="Pieddepage">
    <w:name w:val="footer"/>
    <w:basedOn w:val="Normal"/>
    <w:link w:val="PieddepageCar"/>
    <w:uiPriority w:val="99"/>
    <w:unhideWhenUsed w:val="1"/>
    <w:rsid w:val="0071529D"/>
    <w:pPr>
      <w:tabs>
        <w:tab w:val="center" w:pos="4320"/>
        <w:tab w:val="right" w:pos="8640"/>
      </w:tabs>
    </w:pPr>
  </w:style>
  <w:style w:type="character" w:styleId="PieddepageCar" w:customStyle="1">
    <w:name w:val="Pied de page Car"/>
    <w:basedOn w:val="Policepardfaut"/>
    <w:link w:val="Pieddepage"/>
    <w:uiPriority w:val="99"/>
    <w:rsid w:val="0071529D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https://innovateurscanadiensenalimentation.ca/projet/a-la-recherche-d-une-solution-naturelle-contre-la-presence-d-agents-pathogenes-et-de-bacteries-de-contamination-dans-les-produits-de-volaille-et-de-legumes-surgeles" TargetMode="External"/><Relationship Id="rId10" Type="http://schemas.openxmlformats.org/officeDocument/2006/relationships/hyperlink" Target="https://innovateurscanadiensenalimentation.ca/projet/a-la-recherche-d-une-solution-naturelle-contre-la-presence-d-agents-pathogenes-et-de-bacteries-de-contamination-dans-les-produits-de-volaille-et-de-legumes-surgeles" TargetMode="External"/><Relationship Id="rId9" Type="http://schemas.openxmlformats.org/officeDocument/2006/relationships/hyperlink" Target="https://www.cbc.ca/news/canada/nova-scotia/cape-breton-researchers-looking-into-plastic-that-kills-covid-19-1.5633150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www.cbc.ca/news/canada/nova-scotia/cape-breton-researchers-looking-into-plastic-that-kills-covid-19-1.5633150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wvssZn5/6qAdxivzRMs48qOm1WA==">AMUW2mXjYIFJr7h75k3Tm431Vk/55jOGnqoEerjUiL22xhFdQc65Z/WbVmn8zirTmUuLMnwp4UkDFPzt7vcx3F3wyyeUeJKYjGpwCA1Tny2g4eM14GjT18Tm6hkCT4KDX57EFCQ/b/Yf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2020-07-27T01:48:00Z</dcterms:created>
  <dc:creator>%username%</dc:creator>
</cp:coreProperties>
</file>